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77C8B">
      <w:pPr>
        <w:widowControl/>
        <w:jc w:val="center"/>
        <w:rPr>
          <w:rFonts w:ascii="Times New Roman" w:hAnsi="Times New Roman" w:eastAsia="宋体" w:cs="Times New Roman"/>
          <w:szCs w:val="21"/>
        </w:rPr>
      </w:pPr>
      <w:r>
        <w:rPr>
          <w:rFonts w:hint="eastAsia" w:ascii="宋体" w:hAnsi="宋体" w:eastAsia="宋体" w:cs="宋体"/>
          <w:color w:val="000000"/>
          <w:kern w:val="0"/>
          <w:sz w:val="28"/>
          <w:szCs w:val="28"/>
          <w:shd w:val="clear" w:color="auto" w:fill="FFFFFF"/>
          <w:lang w:bidi="ar"/>
        </w:rPr>
        <w:t>行 业 标 准 征 求 意 见 稿</w:t>
      </w:r>
    </w:p>
    <w:p w14:paraId="5268ADB2">
      <w:pPr>
        <w:widowControl/>
        <w:jc w:val="center"/>
        <w:rPr>
          <w:rFonts w:ascii="Times New Roman" w:hAnsi="Times New Roman" w:cs="Times New Roman"/>
          <w:szCs w:val="21"/>
        </w:rPr>
      </w:pPr>
      <w:r>
        <w:rPr>
          <w:rFonts w:hint="eastAsia" w:ascii="宋体" w:hAnsi="宋体" w:eastAsia="宋体" w:cs="宋体"/>
          <w:color w:val="000000"/>
          <w:kern w:val="0"/>
          <w:sz w:val="28"/>
          <w:szCs w:val="28"/>
          <w:shd w:val="clear" w:color="auto" w:fill="FFFFFF"/>
          <w:lang w:bidi="ar"/>
        </w:rPr>
        <w:t>意 见 汇 总 处 理 表</w:t>
      </w:r>
    </w:p>
    <w:p w14:paraId="6025902D">
      <w:pPr>
        <w:widowControl/>
        <w:rPr>
          <w:rFonts w:ascii="宋体" w:hAnsi="宋体" w:eastAsia="宋体" w:cs="Times New Roman"/>
          <w:sz w:val="18"/>
          <w:szCs w:val="18"/>
        </w:rPr>
      </w:pPr>
      <w:r>
        <w:rPr>
          <w:rFonts w:hint="eastAsia" w:ascii="宋体" w:hAnsi="宋体" w:eastAsia="宋体" w:cs="宋体"/>
          <w:color w:val="000000"/>
          <w:kern w:val="0"/>
          <w:sz w:val="18"/>
          <w:szCs w:val="18"/>
          <w:shd w:val="clear" w:color="auto" w:fill="FFFFFF"/>
          <w:lang w:bidi="ar"/>
        </w:rPr>
        <w:t>标准项目名称：柴油机尿素品质传感器可靠性试验方法     </w:t>
      </w:r>
    </w:p>
    <w:p w14:paraId="26BC0281">
      <w:pPr>
        <w:widowControl/>
        <w:rPr>
          <w:rFonts w:ascii="宋体" w:hAnsi="宋体" w:eastAsia="宋体" w:cs="Times New Roman"/>
          <w:sz w:val="18"/>
          <w:szCs w:val="18"/>
        </w:rPr>
      </w:pPr>
      <w:r>
        <w:rPr>
          <w:rFonts w:hint="eastAsia" w:ascii="宋体" w:hAnsi="宋体" w:eastAsia="宋体" w:cs="宋体"/>
          <w:color w:val="000000"/>
          <w:kern w:val="0"/>
          <w:sz w:val="18"/>
          <w:szCs w:val="18"/>
          <w:shd w:val="clear" w:color="auto" w:fill="FFFFFF"/>
          <w:lang w:bidi="ar"/>
        </w:rPr>
        <w:t>标准项目负责起草单位：南昌攀藤科技有限公司</w:t>
      </w:r>
    </w:p>
    <w:p w14:paraId="38404BDC">
      <w:pPr>
        <w:widowControl/>
        <w:rPr>
          <w:rFonts w:ascii="宋体" w:hAnsi="宋体" w:eastAsia="宋体" w:cs="Times New Roman"/>
          <w:sz w:val="18"/>
          <w:szCs w:val="18"/>
        </w:rPr>
      </w:pPr>
      <w:r>
        <w:rPr>
          <w:rFonts w:hint="eastAsia" w:ascii="宋体" w:hAnsi="宋体" w:eastAsia="宋体" w:cs="宋体"/>
          <w:color w:val="000000"/>
          <w:kern w:val="0"/>
          <w:sz w:val="18"/>
          <w:szCs w:val="18"/>
          <w:shd w:val="clear" w:color="auto" w:fill="FFFFFF"/>
          <w:lang w:bidi="ar"/>
        </w:rPr>
        <w:t xml:space="preserve">承办人：邓德奇             电话：15570372101                      </w:t>
      </w:r>
      <w:r>
        <w:rPr>
          <w:rFonts w:ascii="宋体" w:hAnsi="宋体" w:eastAsia="宋体" w:cs="Times New Roman"/>
          <w:color w:val="000000"/>
          <w:kern w:val="0"/>
          <w:sz w:val="18"/>
          <w:szCs w:val="18"/>
          <w:shd w:val="clear" w:color="auto" w:fill="FFFFFF"/>
          <w:lang w:bidi="ar"/>
        </w:rPr>
        <w:t>2025</w:t>
      </w:r>
      <w:r>
        <w:rPr>
          <w:rFonts w:hint="eastAsia" w:ascii="宋体" w:hAnsi="宋体" w:eastAsia="宋体" w:cs="宋体"/>
          <w:color w:val="000000"/>
          <w:kern w:val="0"/>
          <w:sz w:val="18"/>
          <w:szCs w:val="18"/>
          <w:shd w:val="clear" w:color="auto" w:fill="FFFFFF"/>
          <w:lang w:bidi="ar"/>
        </w:rPr>
        <w:t>年</w:t>
      </w:r>
      <w:r>
        <w:rPr>
          <w:rFonts w:hint="eastAsia" w:ascii="宋体" w:hAnsi="宋体" w:eastAsia="宋体" w:cs="Times New Roman"/>
          <w:color w:val="000000"/>
          <w:kern w:val="0"/>
          <w:sz w:val="18"/>
          <w:szCs w:val="18"/>
          <w:shd w:val="clear" w:color="auto" w:fill="FFFFFF"/>
          <w:lang w:bidi="ar"/>
        </w:rPr>
        <w:t>6</w:t>
      </w:r>
      <w:r>
        <w:rPr>
          <w:rFonts w:hint="eastAsia" w:ascii="宋体" w:hAnsi="宋体" w:eastAsia="宋体" w:cs="宋体"/>
          <w:color w:val="000000"/>
          <w:kern w:val="0"/>
          <w:sz w:val="18"/>
          <w:szCs w:val="18"/>
          <w:shd w:val="clear" w:color="auto" w:fill="FFFFFF"/>
          <w:lang w:bidi="ar"/>
        </w:rPr>
        <w:t>月</w:t>
      </w:r>
      <w:r>
        <w:rPr>
          <w:rFonts w:hint="eastAsia" w:ascii="宋体" w:hAnsi="宋体" w:eastAsia="宋体" w:cs="Times New Roman"/>
          <w:color w:val="000000"/>
          <w:kern w:val="0"/>
          <w:sz w:val="18"/>
          <w:szCs w:val="18"/>
          <w:shd w:val="clear" w:color="auto" w:fill="FFFFFF"/>
          <w:lang w:bidi="ar"/>
        </w:rPr>
        <w:t>30</w:t>
      </w:r>
      <w:r>
        <w:rPr>
          <w:rFonts w:hint="eastAsia" w:ascii="宋体" w:hAnsi="宋体" w:eastAsia="宋体" w:cs="宋体"/>
          <w:color w:val="000000"/>
          <w:kern w:val="0"/>
          <w:sz w:val="18"/>
          <w:szCs w:val="18"/>
          <w:shd w:val="clear" w:color="auto" w:fill="FFFFFF"/>
          <w:lang w:bidi="ar"/>
        </w:rPr>
        <w:t>日    填写</w:t>
      </w:r>
    </w:p>
    <w:tbl>
      <w:tblPr>
        <w:tblStyle w:val="3"/>
        <w:tblW w:w="4998" w:type="pct"/>
        <w:tblInd w:w="0" w:type="dxa"/>
        <w:tblLayout w:type="autofit"/>
        <w:tblCellMar>
          <w:top w:w="15" w:type="dxa"/>
          <w:left w:w="15" w:type="dxa"/>
          <w:bottom w:w="15" w:type="dxa"/>
          <w:right w:w="15" w:type="dxa"/>
        </w:tblCellMar>
      </w:tblPr>
      <w:tblGrid>
        <w:gridCol w:w="494"/>
        <w:gridCol w:w="850"/>
        <w:gridCol w:w="2998"/>
        <w:gridCol w:w="1337"/>
        <w:gridCol w:w="867"/>
        <w:gridCol w:w="1967"/>
      </w:tblGrid>
      <w:tr w14:paraId="6C8D2C74">
        <w:tblPrEx>
          <w:tblCellMar>
            <w:top w:w="15" w:type="dxa"/>
            <w:left w:w="15" w:type="dxa"/>
            <w:bottom w:w="15" w:type="dxa"/>
            <w:right w:w="15" w:type="dxa"/>
          </w:tblCellMar>
        </w:tblPrEx>
        <w:trPr>
          <w:trHeight w:val="621" w:hRule="atLeast"/>
          <w:tblHeader/>
        </w:trPr>
        <w:tc>
          <w:tcPr>
            <w:tcW w:w="290" w:type="pct"/>
            <w:tcBorders>
              <w:top w:val="single" w:color="000000" w:sz="6" w:space="0"/>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4CA8E26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序号</w:t>
            </w:r>
          </w:p>
        </w:tc>
        <w:tc>
          <w:tcPr>
            <w:tcW w:w="499" w:type="pct"/>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2ECCC6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标准章条编号</w:t>
            </w:r>
          </w:p>
        </w:tc>
        <w:tc>
          <w:tcPr>
            <w:tcW w:w="1760" w:type="pct"/>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519AEC3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意见内容</w:t>
            </w:r>
          </w:p>
        </w:tc>
        <w:tc>
          <w:tcPr>
            <w:tcW w:w="785" w:type="pct"/>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17842D0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提出单位</w:t>
            </w:r>
          </w:p>
        </w:tc>
        <w:tc>
          <w:tcPr>
            <w:tcW w:w="509" w:type="pct"/>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7EA1378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处理意见</w:t>
            </w:r>
          </w:p>
        </w:tc>
        <w:tc>
          <w:tcPr>
            <w:tcW w:w="1155" w:type="pct"/>
            <w:tcBorders>
              <w:top w:val="single" w:color="000000" w:sz="6" w:space="0"/>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D03197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备注</w:t>
            </w:r>
          </w:p>
        </w:tc>
      </w:tr>
      <w:tr w14:paraId="38CA12D6">
        <w:tblPrEx>
          <w:tblCellMar>
            <w:top w:w="15" w:type="dxa"/>
            <w:left w:w="15" w:type="dxa"/>
            <w:bottom w:w="15" w:type="dxa"/>
            <w:right w:w="15" w:type="dxa"/>
          </w:tblCellMar>
        </w:tblPrEx>
        <w:trPr>
          <w:trHeight w:val="90" w:hRule="atLeast"/>
        </w:trPr>
        <w:tc>
          <w:tcPr>
            <w:tcW w:w="290" w:type="pc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3566B44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1</w:t>
            </w:r>
          </w:p>
        </w:tc>
        <w:tc>
          <w:tcPr>
            <w:tcW w:w="49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01F31B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前言</w:t>
            </w:r>
          </w:p>
        </w:tc>
        <w:tc>
          <w:tcPr>
            <w:tcW w:w="1760"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07C3AB47">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前言“本文件由全国内燃机标准化技术委员会（</w:t>
            </w:r>
            <w:r>
              <w:rPr>
                <w:rFonts w:ascii="宋体" w:hAnsi="宋体" w:eastAsia="宋体"/>
                <w:color w:val="000000" w:themeColor="text1"/>
                <w:sz w:val="18"/>
                <w:szCs w:val="18"/>
                <w14:textFill>
                  <w14:solidFill>
                    <w14:schemeClr w14:val="tx1"/>
                  </w14:solidFill>
                </w14:textFill>
              </w:rPr>
              <w:t>SAC/TC177</w:t>
            </w:r>
            <w:r>
              <w:rPr>
                <w:rFonts w:hint="eastAsia" w:ascii="宋体" w:hAnsi="宋体" w:eastAsia="宋体"/>
                <w:color w:val="000000" w:themeColor="text1"/>
                <w:sz w:val="18"/>
                <w:szCs w:val="18"/>
                <w14:textFill>
                  <w14:solidFill>
                    <w14:schemeClr w14:val="tx1"/>
                  </w14:solidFill>
                </w14:textFill>
              </w:rPr>
              <w:t>）归口。”。</w:t>
            </w:r>
            <w:r>
              <w:rPr>
                <w:rFonts w:ascii="宋体" w:hAnsi="宋体" w:eastAsia="宋体"/>
                <w:color w:val="000000" w:themeColor="text1"/>
                <w:sz w:val="18"/>
                <w:szCs w:val="18"/>
                <w14:textFill>
                  <w14:solidFill>
                    <w14:schemeClr w14:val="tx1"/>
                  </w14:solidFill>
                </w14:textFill>
              </w:rPr>
              <w:t>本</w:t>
            </w:r>
            <w:r>
              <w:rPr>
                <w:rFonts w:hint="eastAsia" w:ascii="宋体" w:hAnsi="宋体" w:eastAsia="宋体"/>
                <w:color w:val="000000" w:themeColor="text1"/>
                <w:sz w:val="18"/>
                <w:szCs w:val="18"/>
                <w14:textFill>
                  <w14:solidFill>
                    <w14:schemeClr w14:val="tx1"/>
                  </w14:solidFill>
                </w14:textFill>
              </w:rPr>
              <w:t>标准</w:t>
            </w:r>
            <w:r>
              <w:rPr>
                <w:rFonts w:ascii="宋体" w:hAnsi="宋体" w:eastAsia="宋体"/>
                <w:color w:val="000000" w:themeColor="text1"/>
                <w:sz w:val="18"/>
                <w:szCs w:val="18"/>
                <w14:textFill>
                  <w14:solidFill>
                    <w14:schemeClr w14:val="tx1"/>
                  </w14:solidFill>
                </w14:textFill>
              </w:rPr>
              <w:t>为行业标准，归口于国家</w:t>
            </w:r>
            <w:r>
              <w:rPr>
                <w:rFonts w:hint="eastAsia" w:ascii="宋体" w:hAnsi="宋体" w:eastAsia="宋体"/>
                <w:color w:val="000000" w:themeColor="text1"/>
                <w:sz w:val="18"/>
                <w:szCs w:val="18"/>
                <w14:textFill>
                  <w14:solidFill>
                    <w14:schemeClr w14:val="tx1"/>
                  </w14:solidFill>
                </w14:textFill>
              </w:rPr>
              <w:t>标准化技术委员会是否</w:t>
            </w:r>
            <w:r>
              <w:rPr>
                <w:rFonts w:ascii="宋体" w:hAnsi="宋体" w:eastAsia="宋体"/>
                <w:color w:val="000000" w:themeColor="text1"/>
                <w:sz w:val="18"/>
                <w:szCs w:val="18"/>
                <w14:textFill>
                  <w14:solidFill>
                    <w14:schemeClr w14:val="tx1"/>
                  </w14:solidFill>
                </w14:textFill>
              </w:rPr>
              <w:t>合适？</w:t>
            </w:r>
          </w:p>
        </w:tc>
        <w:tc>
          <w:tcPr>
            <w:tcW w:w="78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788E7C2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lang w:val="en-US" w:eastAsia="zh-CN"/>
                <w14:textFill>
                  <w14:solidFill>
                    <w14:schemeClr w14:val="tx1"/>
                  </w14:solidFill>
                </w14:textFill>
              </w:rPr>
              <w:t>山东</w:t>
            </w:r>
            <w:r>
              <w:rPr>
                <w:rFonts w:hint="eastAsia" w:ascii="宋体" w:hAnsi="宋体" w:eastAsia="宋体"/>
                <w:color w:val="000000" w:themeColor="text1"/>
                <w:sz w:val="18"/>
                <w:szCs w:val="18"/>
                <w14:textFill>
                  <w14:solidFill>
                    <w14:schemeClr w14:val="tx1"/>
                  </w14:solidFill>
                </w14:textFill>
              </w:rPr>
              <w:t>省</w:t>
            </w:r>
            <w:r>
              <w:rPr>
                <w:rFonts w:hint="eastAsia" w:ascii="宋体" w:hAnsi="宋体" w:eastAsia="宋体"/>
                <w:color w:val="000000" w:themeColor="text1"/>
                <w:sz w:val="18"/>
                <w:szCs w:val="18"/>
                <w:lang w:val="en-US" w:eastAsia="zh-CN"/>
                <w14:textFill>
                  <w14:solidFill>
                    <w14:schemeClr w14:val="tx1"/>
                  </w14:solidFill>
                </w14:textFill>
              </w:rPr>
              <w:t>标准化</w:t>
            </w:r>
            <w:r>
              <w:rPr>
                <w:rFonts w:hint="eastAsia" w:ascii="宋体" w:hAnsi="宋体" w:eastAsia="宋体"/>
                <w:color w:val="000000" w:themeColor="text1"/>
                <w:sz w:val="18"/>
                <w:szCs w:val="18"/>
                <w14:textFill>
                  <w14:solidFill>
                    <w14:schemeClr w14:val="tx1"/>
                  </w14:solidFill>
                </w14:textFill>
              </w:rPr>
              <w:t>院</w:t>
            </w:r>
          </w:p>
        </w:tc>
        <w:tc>
          <w:tcPr>
            <w:tcW w:w="50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0D3F1C8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不采纳</w:t>
            </w:r>
          </w:p>
        </w:tc>
        <w:tc>
          <w:tcPr>
            <w:tcW w:w="115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936077D">
            <w:pPr>
              <w:keepNext w:val="0"/>
              <w:keepLines w:val="0"/>
              <w:pageBreakBefore w:val="0"/>
              <w:widowControl/>
              <w:kinsoku/>
              <w:wordWrap/>
              <w:overflowPunct/>
              <w:topLinePunct w:val="0"/>
              <w:autoSpaceDE/>
              <w:autoSpaceDN/>
              <w:bidi w:val="0"/>
              <w:adjustRightInd/>
              <w:snapToGrid/>
              <w:spacing w:line="240" w:lineRule="auto"/>
              <w:jc w:val="lef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标准计划下达公告保持一致</w:t>
            </w:r>
          </w:p>
        </w:tc>
      </w:tr>
      <w:tr w14:paraId="7D4854C1">
        <w:tblPrEx>
          <w:tblCellMar>
            <w:top w:w="15" w:type="dxa"/>
            <w:left w:w="15" w:type="dxa"/>
            <w:bottom w:w="15" w:type="dxa"/>
            <w:right w:w="15" w:type="dxa"/>
          </w:tblCellMar>
        </w:tblPrEx>
        <w:tc>
          <w:tcPr>
            <w:tcW w:w="290" w:type="pc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4E0C21D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2</w:t>
            </w:r>
          </w:p>
        </w:tc>
        <w:tc>
          <w:tcPr>
            <w:tcW w:w="49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560601E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2</w:t>
            </w:r>
          </w:p>
        </w:tc>
        <w:tc>
          <w:tcPr>
            <w:tcW w:w="1760"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11199128">
            <w:pPr>
              <w:keepNext w:val="0"/>
              <w:keepLines w:val="0"/>
              <w:pageBreakBefore w:val="0"/>
              <w:kinsoku/>
              <w:wordWrap/>
              <w:overflowPunct/>
              <w:topLinePunct w:val="0"/>
              <w:autoSpaceDE/>
              <w:autoSpaceDN/>
              <w:bidi w:val="0"/>
              <w:adjustRightInd/>
              <w:snapToGrid/>
              <w:spacing w:line="240" w:lineRule="auto"/>
              <w:jc w:val="left"/>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G</w:t>
            </w:r>
            <w:r>
              <w:rPr>
                <w:rFonts w:ascii="宋体" w:hAnsi="宋体" w:eastAsia="宋体"/>
                <w:color w:val="000000" w:themeColor="text1"/>
                <w:sz w:val="18"/>
                <w:szCs w:val="18"/>
                <w14:textFill>
                  <w14:solidFill>
                    <w14:schemeClr w14:val="tx1"/>
                  </w14:solidFill>
                </w14:textFill>
              </w:rPr>
              <w:t>B/T 28046.2-2011</w:t>
            </w:r>
            <w:r>
              <w:rPr>
                <w:rFonts w:hint="eastAsia" w:ascii="宋体" w:hAnsi="宋体" w:eastAsia="宋体"/>
                <w:color w:val="000000" w:themeColor="text1"/>
                <w:sz w:val="18"/>
                <w:szCs w:val="18"/>
                <w14:textFill>
                  <w14:solidFill>
                    <w14:schemeClr w14:val="tx1"/>
                  </w14:solidFill>
                </w14:textFill>
              </w:rPr>
              <w:t>建议改为G</w:t>
            </w:r>
            <w:r>
              <w:rPr>
                <w:rFonts w:ascii="宋体" w:hAnsi="宋体" w:eastAsia="宋体"/>
                <w:color w:val="000000" w:themeColor="text1"/>
                <w:sz w:val="18"/>
                <w:szCs w:val="18"/>
                <w14:textFill>
                  <w14:solidFill>
                    <w14:schemeClr w14:val="tx1"/>
                  </w14:solidFill>
                </w14:textFill>
              </w:rPr>
              <w:t>B/T 28046.2-2019</w:t>
            </w:r>
            <w:r>
              <w:rPr>
                <w:rFonts w:hint="eastAsia" w:ascii="宋体" w:hAnsi="宋体" w:eastAsia="宋体"/>
                <w:color w:val="000000" w:themeColor="text1"/>
                <w:sz w:val="18"/>
                <w:szCs w:val="18"/>
                <w14:textFill>
                  <w14:solidFill>
                    <w14:schemeClr w14:val="tx1"/>
                  </w14:solidFill>
                </w14:textFill>
              </w:rPr>
              <w:t>（已于2</w:t>
            </w:r>
            <w:r>
              <w:rPr>
                <w:rFonts w:ascii="宋体" w:hAnsi="宋体" w:eastAsia="宋体"/>
                <w:color w:val="000000" w:themeColor="text1"/>
                <w:sz w:val="18"/>
                <w:szCs w:val="18"/>
                <w14:textFill>
                  <w14:solidFill>
                    <w14:schemeClr w14:val="tx1"/>
                  </w14:solidFill>
                </w14:textFill>
              </w:rPr>
              <w:t>020</w:t>
            </w:r>
            <w:r>
              <w:rPr>
                <w:rFonts w:hint="eastAsia" w:ascii="宋体" w:hAnsi="宋体" w:eastAsia="宋体"/>
                <w:color w:val="000000" w:themeColor="text1"/>
                <w:sz w:val="18"/>
                <w:szCs w:val="18"/>
                <w14:textFill>
                  <w14:solidFill>
                    <w14:schemeClr w14:val="tx1"/>
                  </w14:solidFill>
                </w14:textFill>
              </w:rPr>
              <w:t>年5月1日实施）。</w:t>
            </w:r>
          </w:p>
        </w:tc>
        <w:tc>
          <w:tcPr>
            <w:tcW w:w="78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291FE0D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p>
        </w:tc>
        <w:tc>
          <w:tcPr>
            <w:tcW w:w="50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75F847B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采纳</w:t>
            </w:r>
          </w:p>
        </w:tc>
        <w:tc>
          <w:tcPr>
            <w:tcW w:w="115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000AFD27">
            <w:pPr>
              <w:keepNext w:val="0"/>
              <w:keepLines w:val="0"/>
              <w:pageBreakBefore w:val="0"/>
              <w:widowControl/>
              <w:kinsoku/>
              <w:wordWrap/>
              <w:overflowPunct/>
              <w:topLinePunct w:val="0"/>
              <w:autoSpaceDE/>
              <w:autoSpaceDN/>
              <w:bidi w:val="0"/>
              <w:adjustRightInd/>
              <w:snapToGrid/>
              <w:spacing w:line="240" w:lineRule="auto"/>
              <w:jc w:val="left"/>
              <w:rPr>
                <w:rFonts w:ascii="宋体" w:hAnsi="宋体" w:eastAsia="宋体" w:cs="Times New Roman"/>
                <w:color w:val="000000" w:themeColor="text1"/>
                <w:sz w:val="18"/>
                <w:szCs w:val="18"/>
                <w14:textFill>
                  <w14:solidFill>
                    <w14:schemeClr w14:val="tx1"/>
                  </w14:solidFill>
                </w14:textFill>
              </w:rPr>
            </w:pPr>
          </w:p>
        </w:tc>
      </w:tr>
      <w:tr w14:paraId="236EBBE3">
        <w:tblPrEx>
          <w:tblCellMar>
            <w:top w:w="15" w:type="dxa"/>
            <w:left w:w="15" w:type="dxa"/>
            <w:bottom w:w="15" w:type="dxa"/>
            <w:right w:w="15" w:type="dxa"/>
          </w:tblCellMar>
        </w:tblPrEx>
        <w:trPr>
          <w:trHeight w:val="572" w:hRule="atLeast"/>
        </w:trPr>
        <w:tc>
          <w:tcPr>
            <w:tcW w:w="290" w:type="pc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0D1CC0C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3</w:t>
            </w:r>
          </w:p>
        </w:tc>
        <w:tc>
          <w:tcPr>
            <w:tcW w:w="49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0BE5803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2</w:t>
            </w:r>
          </w:p>
        </w:tc>
        <w:tc>
          <w:tcPr>
            <w:tcW w:w="1760"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1570C9A7">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bookmarkStart w:id="1" w:name="_GoBack"/>
            <w:r>
              <w:rPr>
                <w:rFonts w:ascii="宋体" w:hAnsi="宋体" w:eastAsia="宋体"/>
                <w:color w:val="000000" w:themeColor="text1"/>
                <w:sz w:val="18"/>
                <w:szCs w:val="18"/>
                <w:highlight w:val="none"/>
                <w14:textFill>
                  <w14:solidFill>
                    <w14:schemeClr w14:val="tx1"/>
                  </w14:solidFill>
                </w14:textFill>
              </w:rPr>
              <w:t>GB/T 2423.18</w:t>
            </w:r>
            <w:r>
              <w:rPr>
                <w:rFonts w:hint="eastAsia" w:ascii="宋体" w:hAnsi="宋体" w:eastAsia="宋体"/>
                <w:color w:val="000000" w:themeColor="text1"/>
                <w:sz w:val="18"/>
                <w:szCs w:val="18"/>
                <w:highlight w:val="none"/>
                <w14:textFill>
                  <w14:solidFill>
                    <w14:schemeClr w14:val="tx1"/>
                  </w14:solidFill>
                </w14:textFill>
              </w:rPr>
              <w:t>、</w:t>
            </w:r>
            <w:r>
              <w:rPr>
                <w:rFonts w:ascii="宋体" w:hAnsi="宋体" w:eastAsia="宋体"/>
                <w:color w:val="000000" w:themeColor="text1"/>
                <w:sz w:val="18"/>
                <w:szCs w:val="18"/>
                <w:highlight w:val="none"/>
                <w14:textFill>
                  <w14:solidFill>
                    <w14:schemeClr w14:val="tx1"/>
                  </w14:solidFill>
                </w14:textFill>
              </w:rPr>
              <w:t>GB/T 2423.</w:t>
            </w:r>
            <w:r>
              <w:rPr>
                <w:rFonts w:hint="eastAsia" w:ascii="宋体" w:hAnsi="宋体" w:eastAsia="宋体"/>
                <w:color w:val="000000" w:themeColor="text1"/>
                <w:sz w:val="18"/>
                <w:szCs w:val="18"/>
                <w:highlight w:val="none"/>
                <w14:textFill>
                  <w14:solidFill>
                    <w14:schemeClr w14:val="tx1"/>
                  </w14:solidFill>
                </w14:textFill>
              </w:rPr>
              <w:t>34和</w:t>
            </w:r>
            <w:r>
              <w:rPr>
                <w:rFonts w:ascii="宋体" w:hAnsi="宋体" w:eastAsia="宋体"/>
                <w:color w:val="000000" w:themeColor="text1"/>
                <w:sz w:val="18"/>
                <w:szCs w:val="18"/>
                <w:highlight w:val="none"/>
                <w14:textFill>
                  <w14:solidFill>
                    <w14:schemeClr w14:val="tx1"/>
                  </w14:solidFill>
                </w14:textFill>
              </w:rPr>
              <w:t>GB/T 19951</w:t>
            </w:r>
            <w:r>
              <w:rPr>
                <w:rFonts w:hint="eastAsia" w:ascii="宋体" w:hAnsi="宋体" w:eastAsia="宋体"/>
                <w:color w:val="000000" w:themeColor="text1"/>
                <w:sz w:val="18"/>
                <w:szCs w:val="18"/>
                <w:highlight w:val="none"/>
                <w14:textFill>
                  <w14:solidFill>
                    <w14:schemeClr w14:val="tx1"/>
                  </w14:solidFill>
                </w14:textFill>
              </w:rPr>
              <w:t>标准代号缺少年份</w:t>
            </w:r>
            <w:bookmarkEnd w:id="1"/>
          </w:p>
        </w:tc>
        <w:tc>
          <w:tcPr>
            <w:tcW w:w="78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0FD4A38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lang w:bidi="ar"/>
                <w14:textFill>
                  <w14:solidFill>
                    <w14:schemeClr w14:val="tx1"/>
                  </w14:solidFill>
                </w14:textFill>
              </w:rPr>
              <w:t>北京理工大学</w:t>
            </w:r>
          </w:p>
        </w:tc>
        <w:tc>
          <w:tcPr>
            <w:tcW w:w="50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7E712B3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570FEEC2">
            <w:pPr>
              <w:keepNext w:val="0"/>
              <w:keepLines w:val="0"/>
              <w:pageBreakBefore w:val="0"/>
              <w:widowControl/>
              <w:kinsoku/>
              <w:wordWrap/>
              <w:overflowPunct/>
              <w:topLinePunct w:val="0"/>
              <w:autoSpaceDE/>
              <w:autoSpaceDN/>
              <w:bidi w:val="0"/>
              <w:adjustRightInd/>
              <w:snapToGrid/>
              <w:spacing w:line="240" w:lineRule="auto"/>
              <w:jc w:val="left"/>
              <w:rPr>
                <w:rFonts w:hint="default" w:ascii="宋体" w:hAnsi="宋体" w:eastAsia="宋体" w:cs="Times New Roman"/>
                <w:color w:val="000000" w:themeColor="text1"/>
                <w:kern w:val="0"/>
                <w:sz w:val="18"/>
                <w:szCs w:val="18"/>
                <w:lang w:val="en-US" w:eastAsia="zh-CN" w:bidi="ar"/>
                <w14:textFill>
                  <w14:solidFill>
                    <w14:schemeClr w14:val="tx1"/>
                  </w14:solidFill>
                </w14:textFill>
              </w:rPr>
            </w:pPr>
          </w:p>
        </w:tc>
      </w:tr>
      <w:tr w14:paraId="79FF3968">
        <w:tblPrEx>
          <w:tblCellMar>
            <w:top w:w="15" w:type="dxa"/>
            <w:left w:w="15" w:type="dxa"/>
            <w:bottom w:w="15" w:type="dxa"/>
            <w:right w:w="15" w:type="dxa"/>
          </w:tblCellMar>
        </w:tblPrEx>
        <w:tc>
          <w:tcPr>
            <w:tcW w:w="290" w:type="pc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4FE657D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4</w:t>
            </w:r>
          </w:p>
        </w:tc>
        <w:tc>
          <w:tcPr>
            <w:tcW w:w="49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DF001D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2</w:t>
            </w:r>
          </w:p>
        </w:tc>
        <w:tc>
          <w:tcPr>
            <w:tcW w:w="1760"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71AF7D76">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建议增加</w:t>
            </w:r>
            <w:bookmarkStart w:id="0" w:name="_Hlk201872452"/>
            <w:r>
              <w:rPr>
                <w:rFonts w:hint="eastAsia" w:ascii="宋体" w:hAnsi="宋体" w:eastAsia="宋体"/>
                <w:color w:val="000000" w:themeColor="text1"/>
                <w:sz w:val="18"/>
                <w:szCs w:val="18"/>
                <w14:textFill>
                  <w14:solidFill>
                    <w14:schemeClr w14:val="tx1"/>
                  </w14:solidFill>
                </w14:textFill>
              </w:rPr>
              <w:t>G</w:t>
            </w:r>
            <w:r>
              <w:rPr>
                <w:rFonts w:ascii="宋体" w:hAnsi="宋体" w:eastAsia="宋体"/>
                <w:color w:val="000000" w:themeColor="text1"/>
                <w:sz w:val="18"/>
                <w:szCs w:val="18"/>
                <w14:textFill>
                  <w14:solidFill>
                    <w14:schemeClr w14:val="tx1"/>
                  </w14:solidFill>
                </w14:textFill>
              </w:rPr>
              <w:t>B/T 41481-2022</w:t>
            </w:r>
            <w:r>
              <w:rPr>
                <w:rFonts w:hint="eastAsia" w:ascii="宋体" w:hAnsi="宋体" w:eastAsia="宋体"/>
                <w:color w:val="000000" w:themeColor="text1"/>
                <w:sz w:val="18"/>
                <w:szCs w:val="18"/>
                <w14:textFill>
                  <w14:solidFill>
                    <w14:schemeClr w14:val="tx1"/>
                  </w14:solidFill>
                </w14:textFill>
              </w:rPr>
              <w:t>道路车辆 零部件和系统的清洁度</w:t>
            </w:r>
            <w:bookmarkEnd w:id="0"/>
            <w:r>
              <w:rPr>
                <w:rFonts w:hint="eastAsia" w:ascii="宋体" w:hAnsi="宋体" w:eastAsia="宋体"/>
                <w:color w:val="000000" w:themeColor="text1"/>
                <w:sz w:val="18"/>
                <w:szCs w:val="18"/>
                <w14:textFill>
                  <w14:solidFill>
                    <w14:schemeClr w14:val="tx1"/>
                  </w14:solidFill>
                </w14:textFill>
              </w:rPr>
              <w:t>（下文表4中内部清洁度的功能状态要求C</w:t>
            </w:r>
            <w:r>
              <w:rPr>
                <w:rFonts w:ascii="宋体" w:hAnsi="宋体" w:eastAsia="宋体"/>
                <w:color w:val="000000" w:themeColor="text1"/>
                <w:sz w:val="18"/>
                <w:szCs w:val="18"/>
                <w14:textFill>
                  <w14:solidFill>
                    <w14:schemeClr w14:val="tx1"/>
                  </w14:solidFill>
                </w14:textFill>
              </w:rPr>
              <w:t>CC</w:t>
            </w:r>
            <w:r>
              <w:rPr>
                <w:rFonts w:hint="eastAsia" w:ascii="宋体" w:hAnsi="宋体" w:eastAsia="宋体"/>
                <w:color w:val="000000" w:themeColor="text1"/>
                <w:sz w:val="18"/>
                <w:szCs w:val="18"/>
                <w14:textFill>
                  <w14:solidFill>
                    <w14:schemeClr w14:val="tx1"/>
                  </w14:solidFill>
                </w14:textFill>
              </w:rPr>
              <w:t>来源于这个标准）。</w:t>
            </w:r>
          </w:p>
        </w:tc>
        <w:tc>
          <w:tcPr>
            <w:tcW w:w="78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03D47E4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p>
        </w:tc>
        <w:tc>
          <w:tcPr>
            <w:tcW w:w="50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77DB4B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采纳</w:t>
            </w:r>
          </w:p>
        </w:tc>
        <w:tc>
          <w:tcPr>
            <w:tcW w:w="115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3D90B8E5">
            <w:pPr>
              <w:keepNext w:val="0"/>
              <w:keepLines w:val="0"/>
              <w:pageBreakBefore w:val="0"/>
              <w:widowControl/>
              <w:kinsoku/>
              <w:wordWrap/>
              <w:overflowPunct/>
              <w:topLinePunct w:val="0"/>
              <w:autoSpaceDE/>
              <w:autoSpaceDN/>
              <w:bidi w:val="0"/>
              <w:adjustRightInd/>
              <w:snapToGrid/>
              <w:spacing w:line="240" w:lineRule="auto"/>
              <w:jc w:val="left"/>
              <w:rPr>
                <w:rFonts w:ascii="宋体" w:hAnsi="宋体" w:eastAsia="宋体" w:cs="Times New Roman"/>
                <w:color w:val="000000" w:themeColor="text1"/>
                <w:sz w:val="18"/>
                <w:szCs w:val="18"/>
                <w14:textFill>
                  <w14:solidFill>
                    <w14:schemeClr w14:val="tx1"/>
                  </w14:solidFill>
                </w14:textFill>
              </w:rPr>
            </w:pPr>
          </w:p>
        </w:tc>
      </w:tr>
      <w:tr w14:paraId="17C3B8FA">
        <w:tblPrEx>
          <w:tblCellMar>
            <w:top w:w="15" w:type="dxa"/>
            <w:left w:w="15" w:type="dxa"/>
            <w:bottom w:w="15" w:type="dxa"/>
            <w:right w:w="15" w:type="dxa"/>
          </w:tblCellMar>
        </w:tblPrEx>
        <w:tc>
          <w:tcPr>
            <w:tcW w:w="290" w:type="pc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0679F5B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5</w:t>
            </w:r>
          </w:p>
        </w:tc>
        <w:tc>
          <w:tcPr>
            <w:tcW w:w="49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8777EB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3.1</w:t>
            </w:r>
          </w:p>
        </w:tc>
        <w:tc>
          <w:tcPr>
            <w:tcW w:w="1760"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A249C4C">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英文翻译和缩略语和术语不对应。</w:t>
            </w:r>
          </w:p>
        </w:tc>
        <w:tc>
          <w:tcPr>
            <w:tcW w:w="78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3FC4C0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潍柴动力股份有限公司</w:t>
            </w:r>
          </w:p>
        </w:tc>
        <w:tc>
          <w:tcPr>
            <w:tcW w:w="50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7BEB22C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6A7E728C">
            <w:pPr>
              <w:keepNext w:val="0"/>
              <w:keepLines w:val="0"/>
              <w:pageBreakBefore w:val="0"/>
              <w:widowControl/>
              <w:kinsoku/>
              <w:wordWrap/>
              <w:overflowPunct/>
              <w:topLinePunct w:val="0"/>
              <w:autoSpaceDE/>
              <w:autoSpaceDN/>
              <w:bidi w:val="0"/>
              <w:adjustRightInd/>
              <w:snapToGrid/>
              <w:spacing w:line="240" w:lineRule="auto"/>
              <w:jc w:val="left"/>
              <w:rPr>
                <w:rFonts w:ascii="宋体" w:hAnsi="宋体" w:eastAsia="宋体" w:cs="Times New Roman"/>
                <w:color w:val="000000" w:themeColor="text1"/>
                <w:sz w:val="18"/>
                <w:szCs w:val="18"/>
                <w14:textFill>
                  <w14:solidFill>
                    <w14:schemeClr w14:val="tx1"/>
                  </w14:solidFill>
                </w14:textFill>
              </w:rPr>
            </w:pPr>
          </w:p>
        </w:tc>
      </w:tr>
      <w:tr w14:paraId="63A45E51">
        <w:tblPrEx>
          <w:tblCellMar>
            <w:top w:w="15" w:type="dxa"/>
            <w:left w:w="15" w:type="dxa"/>
            <w:bottom w:w="15" w:type="dxa"/>
            <w:right w:w="15" w:type="dxa"/>
          </w:tblCellMar>
        </w:tblPrEx>
        <w:tc>
          <w:tcPr>
            <w:tcW w:w="290" w:type="pc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515F930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6</w:t>
            </w:r>
          </w:p>
        </w:tc>
        <w:tc>
          <w:tcPr>
            <w:tcW w:w="49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6716197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3.1</w:t>
            </w:r>
          </w:p>
        </w:tc>
        <w:tc>
          <w:tcPr>
            <w:tcW w:w="1760"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2C13E929">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引用标准中3.1和本文件中3.1的术语不一致，应该在来源中增加注明“有修改”</w:t>
            </w:r>
          </w:p>
        </w:tc>
        <w:tc>
          <w:tcPr>
            <w:tcW w:w="78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21C244D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潍柴动力股份有限公司</w:t>
            </w:r>
          </w:p>
        </w:tc>
        <w:tc>
          <w:tcPr>
            <w:tcW w:w="50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37F58B0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不采纳</w:t>
            </w:r>
          </w:p>
        </w:tc>
        <w:tc>
          <w:tcPr>
            <w:tcW w:w="115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8E180F0">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已修改至与引用标准一致</w:t>
            </w:r>
          </w:p>
        </w:tc>
      </w:tr>
      <w:tr w14:paraId="6CD035DA">
        <w:tblPrEx>
          <w:tblCellMar>
            <w:top w:w="15" w:type="dxa"/>
            <w:left w:w="15" w:type="dxa"/>
            <w:bottom w:w="15" w:type="dxa"/>
            <w:right w:w="15" w:type="dxa"/>
          </w:tblCellMar>
        </w:tblPrEx>
        <w:trPr>
          <w:trHeight w:val="541" w:hRule="atLeast"/>
        </w:trPr>
        <w:tc>
          <w:tcPr>
            <w:tcW w:w="290" w:type="pc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6104715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7</w:t>
            </w:r>
          </w:p>
        </w:tc>
        <w:tc>
          <w:tcPr>
            <w:tcW w:w="49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027C760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3.3</w:t>
            </w:r>
          </w:p>
        </w:tc>
        <w:tc>
          <w:tcPr>
            <w:tcW w:w="1760"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7BC82A67">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句末增加“。”号</w:t>
            </w:r>
          </w:p>
        </w:tc>
        <w:tc>
          <w:tcPr>
            <w:tcW w:w="78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90F9F0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中机科（北京）车辆检测工程研究院有限公司</w:t>
            </w:r>
          </w:p>
        </w:tc>
        <w:tc>
          <w:tcPr>
            <w:tcW w:w="50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7755298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nil"/>
              <w:left w:val="nil"/>
              <w:bottom w:val="single" w:color="auto" w:sz="4" w:space="0"/>
              <w:right w:val="single" w:color="000000" w:sz="6" w:space="0"/>
            </w:tcBorders>
            <w:shd w:val="clear" w:color="auto" w:fill="auto"/>
            <w:tcMar>
              <w:top w:w="0" w:type="dxa"/>
              <w:left w:w="105" w:type="dxa"/>
              <w:bottom w:w="0" w:type="dxa"/>
              <w:right w:w="105" w:type="dxa"/>
            </w:tcMar>
            <w:vAlign w:val="center"/>
          </w:tcPr>
          <w:p w14:paraId="19264921">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07DCC566">
        <w:tblPrEx>
          <w:tblCellMar>
            <w:top w:w="15" w:type="dxa"/>
            <w:left w:w="15" w:type="dxa"/>
            <w:bottom w:w="15" w:type="dxa"/>
            <w:right w:w="15" w:type="dxa"/>
          </w:tblCellMar>
        </w:tblPrEx>
        <w:tc>
          <w:tcPr>
            <w:tcW w:w="290" w:type="pc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0BC2D9A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8</w:t>
            </w:r>
          </w:p>
        </w:tc>
        <w:tc>
          <w:tcPr>
            <w:tcW w:w="49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02876DB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3.4</w:t>
            </w:r>
          </w:p>
        </w:tc>
        <w:tc>
          <w:tcPr>
            <w:tcW w:w="1760"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7F9F831E">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AUS32有无空格应保持一致</w:t>
            </w:r>
          </w:p>
        </w:tc>
        <w:tc>
          <w:tcPr>
            <w:tcW w:w="78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1499053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潍柴动力股份有限公司</w:t>
            </w:r>
          </w:p>
        </w:tc>
        <w:tc>
          <w:tcPr>
            <w:tcW w:w="50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2925BE9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nil"/>
              <w:left w:val="nil"/>
              <w:bottom w:val="single" w:color="auto" w:sz="4" w:space="0"/>
              <w:right w:val="single" w:color="000000" w:sz="6" w:space="0"/>
            </w:tcBorders>
            <w:shd w:val="clear" w:color="auto" w:fill="auto"/>
            <w:tcMar>
              <w:top w:w="0" w:type="dxa"/>
              <w:left w:w="105" w:type="dxa"/>
              <w:bottom w:w="0" w:type="dxa"/>
              <w:right w:w="105" w:type="dxa"/>
            </w:tcMar>
            <w:vAlign w:val="center"/>
          </w:tcPr>
          <w:p w14:paraId="0745F4F6">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63D08BB7">
        <w:tblPrEx>
          <w:tblCellMar>
            <w:top w:w="15" w:type="dxa"/>
            <w:left w:w="15" w:type="dxa"/>
            <w:bottom w:w="15" w:type="dxa"/>
            <w:right w:w="15" w:type="dxa"/>
          </w:tblCellMar>
        </w:tblPrEx>
        <w:tc>
          <w:tcPr>
            <w:tcW w:w="290" w:type="pc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69E94D6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val="en-US" w:eastAsia="zh-CN" w:bidi="ar"/>
                <w14:textFill>
                  <w14:solidFill>
                    <w14:schemeClr w14:val="tx1"/>
                  </w14:solidFill>
                </w14:textFill>
              </w:rPr>
            </w:pPr>
            <w:r>
              <w:rPr>
                <w:rFonts w:hint="eastAsia" w:ascii="宋体" w:hAnsi="宋体" w:eastAsia="宋体" w:cs="Times New Roman"/>
                <w:color w:val="000000" w:themeColor="text1"/>
                <w:sz w:val="18"/>
                <w:szCs w:val="18"/>
                <w:lang w:bidi="ar"/>
                <w14:textFill>
                  <w14:solidFill>
                    <w14:schemeClr w14:val="tx1"/>
                  </w14:solidFill>
                </w14:textFill>
              </w:rPr>
              <w:t>9</w:t>
            </w:r>
          </w:p>
        </w:tc>
        <w:tc>
          <w:tcPr>
            <w:tcW w:w="49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2D6B579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heme="minorBidi"/>
                <w:color w:val="000000" w:themeColor="text1"/>
                <w:kern w:val="2"/>
                <w:sz w:val="18"/>
                <w:szCs w:val="18"/>
                <w:lang w:val="en-US" w:eastAsia="zh-CN" w:bidi="ar-SA"/>
                <w14:textFill>
                  <w14:solidFill>
                    <w14:schemeClr w14:val="tx1"/>
                  </w14:solidFill>
                </w14:textFill>
              </w:rPr>
            </w:pPr>
            <w:r>
              <w:rPr>
                <w:rFonts w:hint="eastAsia" w:ascii="宋体" w:hAnsi="宋体" w:eastAsia="宋体"/>
                <w:color w:val="000000" w:themeColor="text1"/>
                <w:sz w:val="18"/>
                <w:szCs w:val="18"/>
                <w:lang w:val="en-US" w:eastAsia="zh-CN"/>
                <w14:textFill>
                  <w14:solidFill>
                    <w14:schemeClr w14:val="tx1"/>
                  </w14:solidFill>
                </w14:textFill>
              </w:rPr>
              <w:t>3</w:t>
            </w:r>
          </w:p>
        </w:tc>
        <w:tc>
          <w:tcPr>
            <w:tcW w:w="1760"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7F2B3EEE">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theme="minorBidi"/>
                <w:color w:val="000000" w:themeColor="text1"/>
                <w:kern w:val="2"/>
                <w:sz w:val="18"/>
                <w:szCs w:val="18"/>
                <w:lang w:val="en-US" w:eastAsia="zh-CN" w:bidi="ar-SA"/>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干簧管在</w:t>
            </w:r>
            <w:r>
              <w:rPr>
                <w:rFonts w:ascii="宋体" w:hAnsi="宋体" w:eastAsia="宋体"/>
                <w:color w:val="000000" w:themeColor="text1"/>
                <w:sz w:val="18"/>
                <w:szCs w:val="18"/>
                <w14:textFill>
                  <w14:solidFill>
                    <w14:schemeClr w14:val="tx1"/>
                  </w14:solidFill>
                </w14:textFill>
              </w:rPr>
              <w:t>GB/T 28046.1-2011</w:t>
            </w:r>
            <w:r>
              <w:rPr>
                <w:rFonts w:hint="eastAsia" w:ascii="宋体" w:hAnsi="宋体" w:eastAsia="宋体"/>
                <w:color w:val="000000" w:themeColor="text1"/>
                <w:sz w:val="18"/>
                <w:szCs w:val="18"/>
                <w14:textFill>
                  <w14:solidFill>
                    <w14:schemeClr w14:val="tx1"/>
                  </w14:solidFill>
                </w14:textFill>
              </w:rPr>
              <w:t>中没有术语定义，需增加至第3章</w:t>
            </w:r>
          </w:p>
        </w:tc>
        <w:tc>
          <w:tcPr>
            <w:tcW w:w="78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5ECA60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heme="minorBidi"/>
                <w:color w:val="000000" w:themeColor="text1"/>
                <w:kern w:val="2"/>
                <w:sz w:val="18"/>
                <w:szCs w:val="18"/>
                <w:lang w:val="en-US" w:eastAsia="zh-CN" w:bidi="ar-SA"/>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北京理工大学</w:t>
            </w:r>
          </w:p>
        </w:tc>
        <w:tc>
          <w:tcPr>
            <w:tcW w:w="50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3EB7DAC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nil"/>
              <w:left w:val="nil"/>
              <w:bottom w:val="single" w:color="auto" w:sz="4" w:space="0"/>
              <w:right w:val="single" w:color="000000" w:sz="6" w:space="0"/>
            </w:tcBorders>
            <w:shd w:val="clear" w:color="auto" w:fill="auto"/>
            <w:tcMar>
              <w:top w:w="0" w:type="dxa"/>
              <w:left w:w="105" w:type="dxa"/>
              <w:bottom w:w="0" w:type="dxa"/>
              <w:right w:w="105" w:type="dxa"/>
            </w:tcMar>
            <w:vAlign w:val="center"/>
          </w:tcPr>
          <w:p w14:paraId="72B56A22">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kern w:val="2"/>
                <w:sz w:val="18"/>
                <w:szCs w:val="18"/>
                <w:lang w:val="en-US" w:eastAsia="zh-CN" w:bidi="ar-SA"/>
                <w14:textFill>
                  <w14:solidFill>
                    <w14:schemeClr w14:val="tx1"/>
                  </w14:solidFill>
                </w14:textFill>
              </w:rPr>
            </w:pPr>
          </w:p>
        </w:tc>
      </w:tr>
      <w:tr w14:paraId="5F5F08AF">
        <w:tblPrEx>
          <w:tblCellMar>
            <w:top w:w="15" w:type="dxa"/>
            <w:left w:w="15" w:type="dxa"/>
            <w:bottom w:w="15" w:type="dxa"/>
            <w:right w:w="15" w:type="dxa"/>
          </w:tblCellMar>
        </w:tblPrEx>
        <w:tc>
          <w:tcPr>
            <w:tcW w:w="290" w:type="pc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7DD9255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10</w:t>
            </w:r>
          </w:p>
        </w:tc>
        <w:tc>
          <w:tcPr>
            <w:tcW w:w="49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035476E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3.4</w:t>
            </w:r>
          </w:p>
        </w:tc>
        <w:tc>
          <w:tcPr>
            <w:tcW w:w="1760"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3F4846C">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应该在来源中增加注明“有修改”</w:t>
            </w:r>
          </w:p>
        </w:tc>
        <w:tc>
          <w:tcPr>
            <w:tcW w:w="78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10522AC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潍柴动力股份有限公司</w:t>
            </w:r>
          </w:p>
        </w:tc>
        <w:tc>
          <w:tcPr>
            <w:tcW w:w="50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0A373B4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nil"/>
              <w:left w:val="nil"/>
              <w:bottom w:val="single" w:color="auto" w:sz="4" w:space="0"/>
              <w:right w:val="single" w:color="000000" w:sz="6" w:space="0"/>
            </w:tcBorders>
            <w:shd w:val="clear" w:color="auto" w:fill="auto"/>
            <w:tcMar>
              <w:top w:w="0" w:type="dxa"/>
              <w:left w:w="105" w:type="dxa"/>
              <w:bottom w:w="0" w:type="dxa"/>
              <w:right w:w="105" w:type="dxa"/>
            </w:tcMar>
            <w:vAlign w:val="center"/>
          </w:tcPr>
          <w:p w14:paraId="7C69E744">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2B735FDD">
        <w:tblPrEx>
          <w:tblCellMar>
            <w:top w:w="15" w:type="dxa"/>
            <w:left w:w="15" w:type="dxa"/>
            <w:bottom w:w="15" w:type="dxa"/>
            <w:right w:w="15" w:type="dxa"/>
          </w:tblCellMar>
        </w:tblPrEx>
        <w:trPr>
          <w:trHeight w:val="816" w:hRule="atLeast"/>
        </w:trPr>
        <w:tc>
          <w:tcPr>
            <w:tcW w:w="290" w:type="pct"/>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44958F9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lang w:bidi="ar"/>
                <w14:textFill>
                  <w14:solidFill>
                    <w14:schemeClr w14:val="tx1"/>
                  </w14:solidFill>
                </w14:textFill>
              </w:rPr>
              <w:t>11</w:t>
            </w:r>
          </w:p>
        </w:tc>
        <w:tc>
          <w:tcPr>
            <w:tcW w:w="49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11CDC2B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4.1</w:t>
            </w:r>
          </w:p>
        </w:tc>
        <w:tc>
          <w:tcPr>
            <w:tcW w:w="1760"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67014D68">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建议增加非常态试验环境条件</w:t>
            </w:r>
          </w:p>
        </w:tc>
        <w:tc>
          <w:tcPr>
            <w:tcW w:w="78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7EB3690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潍柴动力股份有限公司</w:t>
            </w:r>
          </w:p>
        </w:tc>
        <w:tc>
          <w:tcPr>
            <w:tcW w:w="50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39FF3E7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不采纳</w:t>
            </w:r>
          </w:p>
        </w:tc>
        <w:tc>
          <w:tcPr>
            <w:tcW w:w="1155" w:type="pct"/>
            <w:tcBorders>
              <w:top w:val="nil"/>
              <w:left w:val="nil"/>
              <w:bottom w:val="single" w:color="auto" w:sz="4" w:space="0"/>
              <w:right w:val="single" w:color="000000" w:sz="6" w:space="0"/>
            </w:tcBorders>
            <w:shd w:val="clear" w:color="auto" w:fill="auto"/>
            <w:tcMar>
              <w:top w:w="0" w:type="dxa"/>
              <w:left w:w="105" w:type="dxa"/>
              <w:bottom w:w="0" w:type="dxa"/>
              <w:right w:w="105" w:type="dxa"/>
            </w:tcMar>
            <w:vAlign w:val="center"/>
          </w:tcPr>
          <w:p w14:paraId="03F8938B">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试验需求的非常态试验环境条件于试验方法中已做说明</w:t>
            </w:r>
          </w:p>
        </w:tc>
      </w:tr>
      <w:tr w14:paraId="2B347969">
        <w:tblPrEx>
          <w:tblCellMar>
            <w:top w:w="15" w:type="dxa"/>
            <w:left w:w="15" w:type="dxa"/>
            <w:bottom w:w="15" w:type="dxa"/>
            <w:right w:w="15" w:type="dxa"/>
          </w:tblCellMar>
        </w:tblPrEx>
        <w:tc>
          <w:tcPr>
            <w:tcW w:w="290" w:type="pct"/>
            <w:tcBorders>
              <w:top w:val="nil"/>
              <w:left w:val="single" w:color="000000" w:sz="6" w:space="0"/>
              <w:bottom w:val="single" w:color="auto" w:sz="4" w:space="0"/>
              <w:right w:val="single" w:color="000000" w:sz="6" w:space="0"/>
            </w:tcBorders>
            <w:shd w:val="clear" w:color="auto" w:fill="auto"/>
            <w:tcMar>
              <w:top w:w="0" w:type="dxa"/>
              <w:left w:w="105" w:type="dxa"/>
              <w:bottom w:w="0" w:type="dxa"/>
              <w:right w:w="105" w:type="dxa"/>
            </w:tcMar>
            <w:vAlign w:val="center"/>
          </w:tcPr>
          <w:p w14:paraId="6EC1CFD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12</w:t>
            </w:r>
          </w:p>
        </w:tc>
        <w:tc>
          <w:tcPr>
            <w:tcW w:w="49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7BCA4D0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4.3</w:t>
            </w:r>
          </w:p>
        </w:tc>
        <w:tc>
          <w:tcPr>
            <w:tcW w:w="1760"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1073BF8F">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“恒温恒湿箱”在下文未提及</w:t>
            </w:r>
          </w:p>
        </w:tc>
        <w:tc>
          <w:tcPr>
            <w:tcW w:w="785"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50A7FF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潍柴动力股份有限公司</w:t>
            </w:r>
          </w:p>
        </w:tc>
        <w:tc>
          <w:tcPr>
            <w:tcW w:w="509" w:type="pct"/>
            <w:tcBorders>
              <w:top w:val="nil"/>
              <w:left w:val="nil"/>
              <w:bottom w:val="single" w:color="000000" w:sz="6" w:space="0"/>
              <w:right w:val="single" w:color="000000" w:sz="6" w:space="0"/>
            </w:tcBorders>
            <w:shd w:val="clear" w:color="auto" w:fill="auto"/>
            <w:tcMar>
              <w:top w:w="0" w:type="dxa"/>
              <w:left w:w="105" w:type="dxa"/>
              <w:bottom w:w="0" w:type="dxa"/>
              <w:right w:w="105" w:type="dxa"/>
            </w:tcMar>
            <w:vAlign w:val="center"/>
          </w:tcPr>
          <w:p w14:paraId="41D2503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nil"/>
              <w:left w:val="nil"/>
              <w:bottom w:val="single" w:color="auto" w:sz="4" w:space="0"/>
              <w:right w:val="single" w:color="000000" w:sz="6" w:space="0"/>
            </w:tcBorders>
            <w:shd w:val="clear" w:color="auto" w:fill="auto"/>
            <w:tcMar>
              <w:top w:w="0" w:type="dxa"/>
              <w:left w:w="105" w:type="dxa"/>
              <w:bottom w:w="0" w:type="dxa"/>
              <w:right w:w="105" w:type="dxa"/>
            </w:tcMar>
            <w:vAlign w:val="center"/>
          </w:tcPr>
          <w:p w14:paraId="3700284E">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4CF4FA6D">
        <w:tblPrEx>
          <w:tblCellMar>
            <w:top w:w="15" w:type="dxa"/>
            <w:left w:w="15" w:type="dxa"/>
            <w:bottom w:w="15" w:type="dxa"/>
            <w:right w:w="15" w:type="dxa"/>
          </w:tblCellMar>
        </w:tblPrEx>
        <w:trPr>
          <w:trHeight w:val="917" w:hRule="atLeast"/>
        </w:trPr>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15B6EB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13</w:t>
            </w:r>
          </w:p>
        </w:tc>
        <w:tc>
          <w:tcPr>
            <w:tcW w:w="499" w:type="pct"/>
            <w:tcBorders>
              <w:top w:val="nil"/>
              <w:left w:val="nil"/>
              <w:bottom w:val="single" w:color="auto" w:sz="4" w:space="0"/>
              <w:right w:val="single" w:color="000000" w:sz="6" w:space="0"/>
            </w:tcBorders>
            <w:shd w:val="clear" w:color="auto" w:fill="auto"/>
            <w:tcMar>
              <w:top w:w="0" w:type="dxa"/>
              <w:left w:w="105" w:type="dxa"/>
              <w:bottom w:w="0" w:type="dxa"/>
              <w:right w:w="105" w:type="dxa"/>
            </w:tcMar>
            <w:vAlign w:val="center"/>
          </w:tcPr>
          <w:p w14:paraId="51652F6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5.1</w:t>
            </w:r>
          </w:p>
        </w:tc>
        <w:tc>
          <w:tcPr>
            <w:tcW w:w="1760" w:type="pct"/>
            <w:tcBorders>
              <w:top w:val="nil"/>
              <w:left w:val="nil"/>
              <w:bottom w:val="single" w:color="auto" w:sz="4" w:space="0"/>
              <w:right w:val="single" w:color="000000" w:sz="6" w:space="0"/>
            </w:tcBorders>
            <w:shd w:val="clear" w:color="auto" w:fill="auto"/>
            <w:tcMar>
              <w:top w:w="0" w:type="dxa"/>
              <w:left w:w="105" w:type="dxa"/>
              <w:bottom w:w="0" w:type="dxa"/>
              <w:right w:w="105" w:type="dxa"/>
            </w:tcMar>
            <w:vAlign w:val="center"/>
          </w:tcPr>
          <w:p w14:paraId="349D3400">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表3中，试验方法引用的标准建议取消年限号；例如GB/T 28046.2的最新年限号为2019。</w:t>
            </w:r>
          </w:p>
        </w:tc>
        <w:tc>
          <w:tcPr>
            <w:tcW w:w="785" w:type="pct"/>
            <w:tcBorders>
              <w:top w:val="nil"/>
              <w:left w:val="nil"/>
              <w:bottom w:val="single" w:color="auto" w:sz="4" w:space="0"/>
              <w:right w:val="single" w:color="000000" w:sz="6" w:space="0"/>
            </w:tcBorders>
            <w:shd w:val="clear" w:color="auto" w:fill="auto"/>
            <w:tcMar>
              <w:top w:w="0" w:type="dxa"/>
              <w:left w:w="105" w:type="dxa"/>
              <w:bottom w:w="0" w:type="dxa"/>
              <w:right w:w="105" w:type="dxa"/>
            </w:tcMar>
            <w:vAlign w:val="center"/>
          </w:tcPr>
          <w:p w14:paraId="4D65929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广西玉柴机器股份有限公司</w:t>
            </w:r>
          </w:p>
        </w:tc>
        <w:tc>
          <w:tcPr>
            <w:tcW w:w="509" w:type="pct"/>
            <w:tcBorders>
              <w:top w:val="nil"/>
              <w:left w:val="nil"/>
              <w:bottom w:val="single" w:color="auto" w:sz="4" w:space="0"/>
              <w:right w:val="single" w:color="auto" w:sz="4" w:space="0"/>
            </w:tcBorders>
            <w:shd w:val="clear" w:color="auto" w:fill="auto"/>
            <w:tcMar>
              <w:top w:w="0" w:type="dxa"/>
              <w:left w:w="105" w:type="dxa"/>
              <w:bottom w:w="0" w:type="dxa"/>
              <w:right w:w="105" w:type="dxa"/>
            </w:tcMar>
            <w:vAlign w:val="center"/>
          </w:tcPr>
          <w:p w14:paraId="3EB30A1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不采纳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F0CD631">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标准中年限号已修改为最新</w:t>
            </w:r>
          </w:p>
        </w:tc>
      </w:tr>
      <w:tr w14:paraId="1742F58E">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C50C66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14</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1D7DB1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w:t>
            </w:r>
            <w:r>
              <w:rPr>
                <w:rFonts w:ascii="宋体" w:hAnsi="宋体" w:eastAsia="宋体"/>
                <w:color w:val="000000" w:themeColor="text1"/>
                <w:sz w:val="18"/>
                <w:szCs w:val="18"/>
                <w14:textFill>
                  <w14:solidFill>
                    <w14:schemeClr w14:val="tx1"/>
                  </w14:solidFill>
                </w14:textFill>
              </w:rPr>
              <w:t>1</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0FD0FCC">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表3试验项目中的极性反接试验，应改为反向电压试验，与G</w:t>
            </w:r>
            <w:r>
              <w:rPr>
                <w:rFonts w:ascii="宋体" w:hAnsi="宋体" w:eastAsia="宋体"/>
                <w:color w:val="000000" w:themeColor="text1"/>
                <w:sz w:val="18"/>
                <w:szCs w:val="18"/>
                <w14:textFill>
                  <w14:solidFill>
                    <w14:schemeClr w14:val="tx1"/>
                  </w14:solidFill>
                </w14:textFill>
              </w:rPr>
              <w:t>B/T 28046.2</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2019</w:t>
            </w:r>
            <w:r>
              <w:rPr>
                <w:rFonts w:hint="eastAsia" w:ascii="宋体" w:hAnsi="宋体" w:eastAsia="宋体"/>
                <w:color w:val="000000" w:themeColor="text1"/>
                <w:sz w:val="18"/>
                <w:szCs w:val="18"/>
                <w14:textFill>
                  <w14:solidFill>
                    <w14:schemeClr w14:val="tx1"/>
                  </w14:solidFill>
                </w14:textFill>
              </w:rPr>
              <w:t>保持一致。</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753C40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394F06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3D681EB">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684D6C34">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98ED97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15</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8397A0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w:t>
            </w:r>
            <w:r>
              <w:rPr>
                <w:rFonts w:ascii="宋体" w:hAnsi="宋体" w:eastAsia="宋体"/>
                <w:color w:val="000000" w:themeColor="text1"/>
                <w:sz w:val="18"/>
                <w:szCs w:val="18"/>
                <w14:textFill>
                  <w14:solidFill>
                    <w14:schemeClr w14:val="tx1"/>
                  </w14:solidFill>
                </w14:textFill>
              </w:rPr>
              <w:t>1</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00B498A">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表3中内部清洁度的试验方法建议按G</w:t>
            </w:r>
            <w:r>
              <w:rPr>
                <w:rFonts w:ascii="宋体" w:hAnsi="宋体" w:eastAsia="宋体"/>
                <w:color w:val="000000" w:themeColor="text1"/>
                <w:sz w:val="18"/>
                <w:szCs w:val="18"/>
                <w14:textFill>
                  <w14:solidFill>
                    <w14:schemeClr w14:val="tx1"/>
                  </w14:solidFill>
                </w14:textFill>
              </w:rPr>
              <w:t>B/T 41481-2022</w:t>
            </w:r>
            <w:r>
              <w:rPr>
                <w:rFonts w:hint="eastAsia" w:ascii="宋体" w:hAnsi="宋体" w:eastAsia="宋体"/>
                <w:color w:val="000000" w:themeColor="text1"/>
                <w:sz w:val="18"/>
                <w:szCs w:val="18"/>
                <w14:textFill>
                  <w14:solidFill>
                    <w14:schemeClr w14:val="tx1"/>
                  </w14:solidFill>
                </w14:textFill>
              </w:rPr>
              <w:t>进行（下文表4中内部清洁度的功能状态要求C</w:t>
            </w:r>
            <w:r>
              <w:rPr>
                <w:rFonts w:ascii="宋体" w:hAnsi="宋体" w:eastAsia="宋体"/>
                <w:color w:val="000000" w:themeColor="text1"/>
                <w:sz w:val="18"/>
                <w:szCs w:val="18"/>
                <w14:textFill>
                  <w14:solidFill>
                    <w14:schemeClr w14:val="tx1"/>
                  </w14:solidFill>
                </w14:textFill>
              </w:rPr>
              <w:t>CC</w:t>
            </w:r>
            <w:r>
              <w:rPr>
                <w:rFonts w:hint="eastAsia" w:ascii="宋体" w:hAnsi="宋体" w:eastAsia="宋体"/>
                <w:color w:val="000000" w:themeColor="text1"/>
                <w:sz w:val="18"/>
                <w:szCs w:val="18"/>
                <w14:textFill>
                  <w14:solidFill>
                    <w14:schemeClr w14:val="tx1"/>
                  </w14:solidFill>
                </w14:textFill>
              </w:rPr>
              <w:t>来源于这个标准）</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C111BA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75EE4C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E7BA3F2">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355A43F8">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A40C24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16</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169778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w:t>
            </w:r>
            <w:r>
              <w:rPr>
                <w:rFonts w:ascii="宋体" w:hAnsi="宋体" w:eastAsia="宋体"/>
                <w:color w:val="000000" w:themeColor="text1"/>
                <w:sz w:val="18"/>
                <w:szCs w:val="18"/>
                <w14:textFill>
                  <w14:solidFill>
                    <w14:schemeClr w14:val="tx1"/>
                  </w14:solidFill>
                </w14:textFill>
              </w:rPr>
              <w:t>1</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61A70AC">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试验方法中G</w:t>
            </w:r>
            <w:r>
              <w:rPr>
                <w:rFonts w:ascii="宋体" w:hAnsi="宋体" w:eastAsia="宋体"/>
                <w:color w:val="000000" w:themeColor="text1"/>
                <w:sz w:val="18"/>
                <w:szCs w:val="18"/>
                <w14:textFill>
                  <w14:solidFill>
                    <w14:schemeClr w14:val="tx1"/>
                  </w14:solidFill>
                </w14:textFill>
              </w:rPr>
              <w:t>B/T 212437.2-2021</w:t>
            </w:r>
            <w:r>
              <w:rPr>
                <w:rFonts w:hint="eastAsia" w:ascii="宋体" w:hAnsi="宋体" w:eastAsia="宋体"/>
                <w:color w:val="000000" w:themeColor="text1"/>
                <w:sz w:val="18"/>
                <w:szCs w:val="18"/>
                <w14:textFill>
                  <w14:solidFill>
                    <w14:schemeClr w14:val="tx1"/>
                  </w14:solidFill>
                </w14:textFill>
              </w:rPr>
              <w:t>应为G</w:t>
            </w:r>
            <w:r>
              <w:rPr>
                <w:rFonts w:ascii="宋体" w:hAnsi="宋体" w:eastAsia="宋体"/>
                <w:color w:val="000000" w:themeColor="text1"/>
                <w:sz w:val="18"/>
                <w:szCs w:val="18"/>
                <w14:textFill>
                  <w14:solidFill>
                    <w14:schemeClr w14:val="tx1"/>
                  </w14:solidFill>
                </w14:textFill>
              </w:rPr>
              <w:t>B/T 21437.2-2021</w:t>
            </w:r>
            <w:r>
              <w:rPr>
                <w:rFonts w:hint="eastAsia" w:ascii="宋体" w:hAnsi="宋体" w:eastAsia="宋体"/>
                <w:color w:val="000000" w:themeColor="text1"/>
                <w:sz w:val="18"/>
                <w:szCs w:val="18"/>
                <w14:textFill>
                  <w14:solidFill>
                    <w14:schemeClr w14:val="tx1"/>
                  </w14:solidFill>
                </w14:textFill>
              </w:rPr>
              <w:t>、G</w:t>
            </w:r>
            <w:r>
              <w:rPr>
                <w:rFonts w:ascii="宋体" w:hAnsi="宋体" w:eastAsia="宋体"/>
                <w:color w:val="000000" w:themeColor="text1"/>
                <w:sz w:val="18"/>
                <w:szCs w:val="18"/>
                <w14:textFill>
                  <w14:solidFill>
                    <w14:schemeClr w14:val="tx1"/>
                  </w14:solidFill>
                </w14:textFill>
              </w:rPr>
              <w:t>B/T 212437.3</w:t>
            </w:r>
            <w:r>
              <w:rPr>
                <w:rFonts w:hint="eastAsia" w:ascii="宋体" w:hAnsi="宋体" w:eastAsia="宋体"/>
                <w:color w:val="000000" w:themeColor="text1"/>
                <w:sz w:val="18"/>
                <w:szCs w:val="18"/>
                <w14:textFill>
                  <w14:solidFill>
                    <w14:schemeClr w14:val="tx1"/>
                  </w14:solidFill>
                </w14:textFill>
              </w:rPr>
              <w:t>应为G</w:t>
            </w:r>
            <w:r>
              <w:rPr>
                <w:rFonts w:ascii="宋体" w:hAnsi="宋体" w:eastAsia="宋体"/>
                <w:color w:val="000000" w:themeColor="text1"/>
                <w:sz w:val="18"/>
                <w:szCs w:val="18"/>
                <w14:textFill>
                  <w14:solidFill>
                    <w14:schemeClr w14:val="tx1"/>
                  </w14:solidFill>
                </w14:textFill>
              </w:rPr>
              <w:t>B/T 21437.3</w:t>
            </w:r>
            <w:r>
              <w:rPr>
                <w:rFonts w:hint="eastAsia" w:ascii="宋体" w:hAnsi="宋体" w:eastAsia="宋体"/>
                <w:color w:val="000000" w:themeColor="text1"/>
                <w:sz w:val="18"/>
                <w:szCs w:val="18"/>
                <w14:textFill>
                  <w14:solidFill>
                    <w14:schemeClr w14:val="tx1"/>
                  </w14:solidFill>
                </w14:textFill>
              </w:rPr>
              <w:t>。</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F61440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17BE70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95B0EF8">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5D7A5CA3">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A7BAE0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17</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5CFC94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w:t>
            </w:r>
            <w:r>
              <w:rPr>
                <w:rFonts w:ascii="宋体" w:hAnsi="宋体" w:eastAsia="宋体"/>
                <w:color w:val="000000" w:themeColor="text1"/>
                <w:sz w:val="18"/>
                <w:szCs w:val="18"/>
                <w14:textFill>
                  <w14:solidFill>
                    <w14:schemeClr w14:val="tx1"/>
                  </w14:solidFill>
                </w14:textFill>
              </w:rPr>
              <w:t>2</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F69DCB2">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防冻液的流速没有规定，建议结合各整机厂的实际流速规定。</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B44771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广东正扬传感科技股份有限公司、广西玉柴机器股份有限公司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C98E8A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不采纳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121EC7E">
            <w:pPr>
              <w:keepNext w:val="0"/>
              <w:keepLines w:val="0"/>
              <w:pageBreakBefore w:val="0"/>
              <w:widowControl/>
              <w:kinsoku/>
              <w:wordWrap/>
              <w:overflowPunct/>
              <w:topLinePunct w:val="0"/>
              <w:autoSpaceDE/>
              <w:autoSpaceDN/>
              <w:bidi w:val="0"/>
              <w:adjustRightInd/>
              <w:snapToGrid/>
              <w:spacing w:line="240" w:lineRule="auto"/>
              <w:jc w:val="left"/>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因各家整机厂的防冻液流速不一致，所以在标准中未对防冻液流速进行定义，具体由供需双方确认。</w:t>
            </w:r>
          </w:p>
        </w:tc>
      </w:tr>
      <w:tr w14:paraId="4F9F2969">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CD2240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18</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4BC881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w:t>
            </w:r>
            <w:r>
              <w:rPr>
                <w:rFonts w:ascii="宋体" w:hAnsi="宋体" w:eastAsia="宋体"/>
                <w:color w:val="000000" w:themeColor="text1"/>
                <w:sz w:val="18"/>
                <w:szCs w:val="18"/>
                <w14:textFill>
                  <w14:solidFill>
                    <w14:schemeClr w14:val="tx1"/>
                  </w14:solidFill>
                </w14:textFill>
              </w:rPr>
              <w:t>2</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FBEB87F">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应该定义防冻液的温度梯度和时间，而非仅定义一个标准温度</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2B8B28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2A6EA4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不采纳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87730FD">
            <w:pPr>
              <w:keepNext w:val="0"/>
              <w:keepLines w:val="0"/>
              <w:pageBreakBefore w:val="0"/>
              <w:widowControl/>
              <w:kinsoku/>
              <w:wordWrap/>
              <w:overflowPunct/>
              <w:topLinePunct w:val="0"/>
              <w:autoSpaceDE/>
              <w:autoSpaceDN/>
              <w:bidi w:val="0"/>
              <w:adjustRightInd/>
              <w:snapToGrid/>
              <w:spacing w:line="240" w:lineRule="auto"/>
              <w:jc w:val="left"/>
              <w:rPr>
                <w:rFonts w:hint="eastAsia"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本标准定义防冻液最低温度60±5℃下的解冻时间要求，其他高于部分无需做定义</w:t>
            </w:r>
          </w:p>
        </w:tc>
      </w:tr>
      <w:tr w14:paraId="308EB692">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399644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19</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EA9395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5.2</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D095289">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流程步骤是否需要调整：上电冷冻的目的？</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9B037B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广西玉柴机器股份有限公司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8577C6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不采纳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F4BF8A5">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上电冷冻的目的为测量试验前传感器读取的尿素浓度与完成解冻后传感器读取的尿素浓度进行数据对比</w:t>
            </w:r>
          </w:p>
        </w:tc>
      </w:tr>
      <w:tr w14:paraId="4E0C7F43">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5E5130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20</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016B9F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5.2</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2E855AE">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未考虑集成在尿素罐上的冷却液电磁阀开断控制：环境温度23℃时，不会打开电磁阀。</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62BA2B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广西玉柴机器股份有限公司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30F32C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不采纳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91CB9B1">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为提高标准的通用性，标准中不考虑电磁阀的工作模式，只要求在达到规定冷冻温度后防冻液能够正常流通</w:t>
            </w:r>
          </w:p>
        </w:tc>
      </w:tr>
      <w:tr w14:paraId="120D4EEC">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2977FC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21</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90ED7E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5.2</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97E93FC">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c)</w:t>
            </w:r>
            <w:r>
              <w:rPr>
                <w:rFonts w:hint="eastAsia" w:ascii="宋体" w:hAnsi="宋体" w:eastAsia="宋体"/>
                <w:color w:val="000000" w:themeColor="text1"/>
                <w:sz w:val="18"/>
                <w:szCs w:val="18"/>
                <w:lang w:eastAsia="zh-CN"/>
                <w14:textFill>
                  <w14:solidFill>
                    <w14:schemeClr w14:val="tx1"/>
                  </w14:solidFill>
                </w14:textFill>
              </w:rPr>
              <w:t>，</w:t>
            </w:r>
            <w:r>
              <w:rPr>
                <w:rFonts w:hint="eastAsia" w:ascii="宋体" w:hAnsi="宋体" w:eastAsia="宋体"/>
                <w:color w:val="000000" w:themeColor="text1"/>
                <w:sz w:val="18"/>
                <w:szCs w:val="18"/>
                <w14:textFill>
                  <w14:solidFill>
                    <w14:schemeClr w14:val="tx1"/>
                  </w14:solidFill>
                </w14:textFill>
              </w:rPr>
              <w:t>-18℃需要增加控制误差；</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800122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北京理工大学</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5C603D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88E317C">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11C3AE54">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9FD3CE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22</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3166CA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w:t>
            </w:r>
            <w:r>
              <w:rPr>
                <w:rFonts w:ascii="宋体" w:hAnsi="宋体" w:eastAsia="宋体"/>
                <w:color w:val="000000" w:themeColor="text1"/>
                <w:sz w:val="18"/>
                <w:szCs w:val="18"/>
                <w14:textFill>
                  <w14:solidFill>
                    <w14:schemeClr w14:val="tx1"/>
                  </w14:solidFill>
                </w14:textFill>
              </w:rPr>
              <w:t>3</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E53B49D">
            <w:pPr>
              <w:keepNext w:val="0"/>
              <w:keepLines w:val="0"/>
              <w:pageBreakBefore w:val="0"/>
              <w:numPr>
                <w:numId w:val="0"/>
              </w:numPr>
              <w:kinsoku/>
              <w:wordWrap/>
              <w:overflowPunct/>
              <w:topLinePunct w:val="0"/>
              <w:autoSpaceDE/>
              <w:autoSpaceDN/>
              <w:bidi w:val="0"/>
              <w:adjustRightInd/>
              <w:snapToGrid/>
              <w:spacing w:line="240" w:lineRule="auto"/>
              <w:ind w:leftChars="0"/>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干簧管通断试验缺少循环频率，建议按Q</w:t>
            </w:r>
            <w:r>
              <w:rPr>
                <w:rFonts w:ascii="宋体" w:hAnsi="宋体" w:eastAsia="宋体"/>
                <w:color w:val="000000" w:themeColor="text1"/>
                <w:sz w:val="18"/>
                <w:szCs w:val="18"/>
                <w14:textFill>
                  <w14:solidFill>
                    <w14:schemeClr w14:val="tx1"/>
                  </w14:solidFill>
                </w14:textFill>
              </w:rPr>
              <w:t>C/T 823-2024</w:t>
            </w:r>
            <w:r>
              <w:rPr>
                <w:rFonts w:hint="eastAsia" w:ascii="宋体" w:hAnsi="宋体" w:eastAsia="宋体"/>
                <w:color w:val="000000" w:themeColor="text1"/>
                <w:sz w:val="18"/>
                <w:szCs w:val="18"/>
                <w14:textFill>
                  <w14:solidFill>
                    <w14:schemeClr w14:val="tx1"/>
                  </w14:solidFill>
                </w14:textFill>
              </w:rPr>
              <w:t>，增加“</w:t>
            </w:r>
            <w:r>
              <w:rPr>
                <w:rStyle w:val="6"/>
                <w:rFonts w:hint="eastAsia" w:ascii="宋体" w:hAnsi="宋体" w:eastAsia="宋体"/>
                <w:color w:val="000000" w:themeColor="text1"/>
                <w:sz w:val="18"/>
                <w:szCs w:val="18"/>
                <w14:textFill>
                  <w14:solidFill>
                    <w14:schemeClr w14:val="tx1"/>
                  </w14:solidFill>
                </w14:textFill>
              </w:rPr>
              <w:t>循环</w:t>
            </w:r>
            <w:r>
              <w:rPr>
                <w:rStyle w:val="6"/>
                <w:rFonts w:ascii="宋体" w:hAnsi="宋体" w:eastAsia="宋体"/>
                <w:color w:val="000000" w:themeColor="text1"/>
                <w:sz w:val="18"/>
                <w:szCs w:val="18"/>
                <w14:textFill>
                  <w14:solidFill>
                    <w14:schemeClr w14:val="tx1"/>
                  </w14:solidFill>
                </w14:textFill>
              </w:rPr>
              <w:t>频率由供需双方确定</w:t>
            </w:r>
            <w:r>
              <w:rPr>
                <w:rStyle w:val="6"/>
                <w:rFonts w:hint="eastAsia" w:ascii="宋体" w:hAnsi="宋体" w:eastAsia="宋体"/>
                <w:color w:val="000000" w:themeColor="text1"/>
                <w:sz w:val="18"/>
                <w:szCs w:val="18"/>
                <w14:textFill>
                  <w14:solidFill>
                    <w14:schemeClr w14:val="tx1"/>
                  </w14:solidFill>
                </w14:textFill>
              </w:rPr>
              <w:t>”。</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C44B25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27BADF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DCECE0D">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1210675B">
        <w:tblPrEx>
          <w:tblCellMar>
            <w:top w:w="15" w:type="dxa"/>
            <w:left w:w="15" w:type="dxa"/>
            <w:bottom w:w="15" w:type="dxa"/>
            <w:right w:w="15" w:type="dxa"/>
          </w:tblCellMar>
        </w:tblPrEx>
        <w:trPr>
          <w:trHeight w:val="577" w:hRule="atLeast"/>
        </w:trPr>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B038BA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s="Times New Roman"/>
                <w:color w:val="000000" w:themeColor="text1"/>
                <w:kern w:val="0"/>
                <w:sz w:val="18"/>
                <w:szCs w:val="18"/>
                <w:lang w:val="en-US" w:eastAsia="zh-CN" w:bidi="ar"/>
                <w14:textFill>
                  <w14:solidFill>
                    <w14:schemeClr w14:val="tx1"/>
                  </w14:solidFill>
                </w14:textFill>
              </w:rPr>
            </w:pPr>
            <w:r>
              <w:rPr>
                <w:rFonts w:hint="eastAsia" w:ascii="宋体" w:hAnsi="宋体" w:eastAsia="宋体" w:cs="Times New Roman"/>
                <w:color w:val="000000" w:themeColor="text1"/>
                <w:kern w:val="0"/>
                <w:sz w:val="18"/>
                <w:szCs w:val="18"/>
                <w:lang w:val="en-US" w:eastAsia="zh-CN" w:bidi="ar"/>
                <w14:textFill>
                  <w14:solidFill>
                    <w14:schemeClr w14:val="tx1"/>
                  </w14:solidFill>
                </w14:textFill>
              </w:rPr>
              <w:t>23</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21270C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w:t>
            </w:r>
            <w:r>
              <w:rPr>
                <w:rFonts w:ascii="宋体" w:hAnsi="宋体" w:eastAsia="宋体"/>
                <w:color w:val="000000" w:themeColor="text1"/>
                <w:sz w:val="18"/>
                <w:szCs w:val="18"/>
                <w14:textFill>
                  <w14:solidFill>
                    <w14:schemeClr w14:val="tx1"/>
                  </w14:solidFill>
                </w14:textFill>
              </w:rPr>
              <w:t>3</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87D183F">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olor w:val="000000" w:themeColor="text1"/>
                <w:sz w:val="18"/>
                <w:szCs w:val="18"/>
                <w14:textFill>
                  <w14:solidFill>
                    <w14:schemeClr w14:val="tx1"/>
                  </w14:solidFill>
                </w14:textFill>
              </w:rPr>
            </w:pPr>
            <w:r>
              <w:rPr>
                <w:rStyle w:val="6"/>
                <w:rFonts w:hint="eastAsia" w:ascii="宋体" w:hAnsi="宋体" w:eastAsia="宋体"/>
                <w:color w:val="000000" w:themeColor="text1"/>
                <w:sz w:val="18"/>
                <w:szCs w:val="18"/>
                <w14:textFill>
                  <w14:solidFill>
                    <w14:schemeClr w14:val="tx1"/>
                  </w14:solidFill>
                </w14:textFill>
              </w:rPr>
              <w:t>干簧管通断试验布置图中3--尿素水溶液，建议改为3--尿素水溶液（若有要求）。</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2180B4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F751C7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不采纳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AD32A73">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试验使用溶液应符合实际使用工况，即标准中规定使用尿素水溶液进行</w:t>
            </w:r>
          </w:p>
        </w:tc>
      </w:tr>
      <w:tr w14:paraId="4DE0B520">
        <w:tblPrEx>
          <w:tblCellMar>
            <w:top w:w="15" w:type="dxa"/>
            <w:left w:w="15" w:type="dxa"/>
            <w:bottom w:w="15" w:type="dxa"/>
            <w:right w:w="15" w:type="dxa"/>
          </w:tblCellMar>
        </w:tblPrEx>
        <w:trPr>
          <w:trHeight w:val="1063" w:hRule="atLeast"/>
        </w:trPr>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A59BEF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24</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000BAD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5.4.1</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70C9629">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步骤a中向尿素罐底部探头位置吹空气的方式没有规定，应增加相关规定，如通过内径</w:t>
            </w:r>
            <w:r>
              <w:rPr>
                <w:rFonts w:ascii="宋体" w:hAnsi="宋体" w:eastAsia="宋体"/>
                <w:color w:val="000000" w:themeColor="text1"/>
                <w:sz w:val="18"/>
                <w:szCs w:val="18"/>
                <w14:textFill>
                  <w14:solidFill>
                    <w14:schemeClr w14:val="tx1"/>
                  </w14:solidFill>
                </w14:textFill>
              </w:rPr>
              <w:t>XXmm</w:t>
            </w:r>
            <w:r>
              <w:rPr>
                <w:rFonts w:hint="eastAsia" w:ascii="宋体" w:hAnsi="宋体" w:eastAsia="宋体"/>
                <w:color w:val="000000" w:themeColor="text1"/>
                <w:sz w:val="18"/>
                <w:szCs w:val="18"/>
                <w14:textFill>
                  <w14:solidFill>
                    <w14:schemeClr w14:val="tx1"/>
                  </w14:solidFill>
                </w14:textFill>
              </w:rPr>
              <w:t>的管子。</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8E9646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广东正扬传感科技股份有限公司、广西玉柴机器股份有限公司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CBCE1C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52EC24B">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29EC0D16">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3E2580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25</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D576D1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5.</w:t>
            </w:r>
            <w:r>
              <w:rPr>
                <w:rFonts w:ascii="宋体" w:hAnsi="宋体" w:eastAsia="宋体"/>
                <w:color w:val="000000" w:themeColor="text1"/>
                <w:sz w:val="18"/>
                <w:szCs w:val="18"/>
                <w14:textFill>
                  <w14:solidFill>
                    <w14:schemeClr w14:val="tx1"/>
                  </w14:solidFill>
                </w14:textFill>
              </w:rPr>
              <w:t>4</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2</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E00EAD0">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图4中6--陶瓷发泡板没有相应描述，建议增加相关规定，如孔径及气孔率。</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43D172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6AD710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6D524A8">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59D4E8D9">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FBEC67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26</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4D12D1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6</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7BB54A5">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应删除章节标题上方多余的数字。</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8AB2BD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r>
              <w:rPr>
                <w:rFonts w:hint="eastAsia" w:ascii="宋体" w:hAnsi="宋体" w:eastAsia="宋体" w:cs="宋体"/>
                <w:color w:val="000000" w:themeColor="text1"/>
                <w:kern w:val="0"/>
                <w:sz w:val="18"/>
                <w:szCs w:val="18"/>
                <w:lang w:bidi="ar"/>
                <w14:textFill>
                  <w14:solidFill>
                    <w14:schemeClr w14:val="tx1"/>
                  </w14:solidFill>
                </w14:textFill>
              </w:rPr>
              <w:t>北京理工大学</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9BE82A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CA7BB9A">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32E411AA">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7F5A7D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27</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635E41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ascii="宋体" w:hAnsi="宋体" w:eastAsia="宋体"/>
                <w:color w:val="000000" w:themeColor="text1"/>
                <w:sz w:val="18"/>
                <w:szCs w:val="18"/>
                <w14:textFill>
                  <w14:solidFill>
                    <w14:schemeClr w14:val="tx1"/>
                  </w14:solidFill>
                </w14:textFill>
              </w:rPr>
              <w:t>7</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C7C042B">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表4中静电放电抗扰度试验的功能状态要求描述错误，应参照G</w:t>
            </w:r>
            <w:r>
              <w:rPr>
                <w:rFonts w:ascii="宋体" w:hAnsi="宋体" w:eastAsia="宋体"/>
                <w:color w:val="000000" w:themeColor="text1"/>
                <w:sz w:val="18"/>
                <w:szCs w:val="18"/>
                <w14:textFill>
                  <w14:solidFill>
                    <w14:schemeClr w14:val="tx1"/>
                  </w14:solidFill>
                </w14:textFill>
              </w:rPr>
              <w:t>B/T 19951</w:t>
            </w:r>
            <w:r>
              <w:rPr>
                <w:rFonts w:hint="eastAsia" w:ascii="宋体" w:hAnsi="宋体" w:eastAsia="宋体"/>
                <w:color w:val="000000" w:themeColor="text1"/>
                <w:sz w:val="18"/>
                <w:szCs w:val="18"/>
                <w14:textFill>
                  <w14:solidFill>
                    <w14:schemeClr w14:val="tx1"/>
                  </w14:solidFill>
                </w14:textFill>
              </w:rPr>
              <w:t>-</w:t>
            </w:r>
            <w:r>
              <w:rPr>
                <w:rFonts w:ascii="宋体" w:hAnsi="宋体" w:eastAsia="宋体"/>
                <w:color w:val="000000" w:themeColor="text1"/>
                <w:sz w:val="18"/>
                <w:szCs w:val="18"/>
                <w14:textFill>
                  <w14:solidFill>
                    <w14:schemeClr w14:val="tx1"/>
                  </w14:solidFill>
                </w14:textFill>
              </w:rPr>
              <w:t>2019</w:t>
            </w:r>
            <w:r>
              <w:rPr>
                <w:rFonts w:hint="eastAsia" w:ascii="宋体" w:hAnsi="宋体" w:eastAsia="宋体"/>
                <w:color w:val="000000" w:themeColor="text1"/>
                <w:sz w:val="18"/>
                <w:szCs w:val="18"/>
                <w14:textFill>
                  <w14:solidFill>
                    <w14:schemeClr w14:val="tx1"/>
                  </w14:solidFill>
                </w14:textFill>
              </w:rPr>
              <w:t>，部件试验（D</w:t>
            </w:r>
            <w:r>
              <w:rPr>
                <w:rFonts w:ascii="宋体" w:hAnsi="宋体" w:eastAsia="宋体"/>
                <w:color w:val="000000" w:themeColor="text1"/>
                <w:sz w:val="18"/>
                <w:szCs w:val="18"/>
                <w14:textFill>
                  <w14:solidFill>
                    <w14:schemeClr w14:val="tx1"/>
                  </w14:solidFill>
                </w14:textFill>
              </w:rPr>
              <w:t>UT</w:t>
            </w:r>
            <w:r>
              <w:rPr>
                <w:rFonts w:hint="eastAsia" w:ascii="宋体" w:hAnsi="宋体" w:eastAsia="宋体"/>
                <w:color w:val="000000" w:themeColor="text1"/>
                <w:sz w:val="18"/>
                <w:szCs w:val="18"/>
                <w14:textFill>
                  <w14:solidFill>
                    <w14:schemeClr w14:val="tx1"/>
                  </w14:solidFill>
                </w14:textFill>
              </w:rPr>
              <w:t>通电）为A级，部件试验（D</w:t>
            </w:r>
            <w:r>
              <w:rPr>
                <w:rFonts w:ascii="宋体" w:hAnsi="宋体" w:eastAsia="宋体"/>
                <w:color w:val="000000" w:themeColor="text1"/>
                <w:sz w:val="18"/>
                <w:szCs w:val="18"/>
                <w14:textFill>
                  <w14:solidFill>
                    <w14:schemeClr w14:val="tx1"/>
                  </w14:solidFill>
                </w14:textFill>
              </w:rPr>
              <w:t>UT</w:t>
            </w:r>
            <w:r>
              <w:rPr>
                <w:rFonts w:hint="eastAsia" w:ascii="宋体" w:hAnsi="宋体" w:eastAsia="宋体"/>
                <w:color w:val="000000" w:themeColor="text1"/>
                <w:sz w:val="18"/>
                <w:szCs w:val="18"/>
                <w14:textFill>
                  <w14:solidFill>
                    <w14:schemeClr w14:val="tx1"/>
                  </w14:solidFill>
                </w14:textFill>
              </w:rPr>
              <w:t>不通电）为C级。</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CB8E03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B7E0B0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D79C0BE">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77C920D3">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C2692BA">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28</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ED7AD8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7</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3290A95">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表4中振动吹气泡干扰试验的功能状态要求A级后多了一个“，”，应删掉。</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887B73E">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98D997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84485AC">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01AE14F4">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087E38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29</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8316DD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7</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B50A8B9">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4.2试验样品中明确了“单项测试内容样本量不低于2个，如整机厂有试验样本量要求应当优先满足。”建议在7中判定标准上能够考虑所测传感器通过数量要求</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065C18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中机科（北京）车辆检测工程研究院有限公司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ABF6AA2">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不采纳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C6AA0F7">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试验结束后所有的样本都需通过</w:t>
            </w:r>
          </w:p>
        </w:tc>
      </w:tr>
      <w:tr w14:paraId="374FF3C1">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F45172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30</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89623B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7</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2E4DBB6">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表格拆分位置需调整</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0CDCE8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广西玉柴机器股份有限公司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277E83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D14F035">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Times New Roman"/>
                <w:color w:val="000000" w:themeColor="text1"/>
                <w:sz w:val="18"/>
                <w:szCs w:val="18"/>
                <w14:textFill>
                  <w14:solidFill>
                    <w14:schemeClr w14:val="tx1"/>
                  </w14:solidFill>
                </w14:textFill>
              </w:rPr>
            </w:pPr>
          </w:p>
        </w:tc>
      </w:tr>
      <w:tr w14:paraId="3D98D34D">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091EEB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31</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97ECA2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7</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01E0971">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功能可靠性-振动吹气泡干扰试验-功能状态要求为A级（</w:t>
            </w:r>
            <w:r>
              <w:rPr>
                <w:rFonts w:ascii="宋体" w:hAnsi="宋体" w:eastAsia="宋体" w:cs="Courier New"/>
                <w:color w:val="000000" w:themeColor="text1"/>
                <w:kern w:val="0"/>
                <w:sz w:val="18"/>
                <w:szCs w:val="18"/>
                <w14:textFill>
                  <w14:solidFill>
                    <w14:schemeClr w14:val="tx1"/>
                  </w14:solidFill>
                </w14:textFill>
              </w:rPr>
              <w:t>试验中和试验后，装置/系统所有功能满足设计要求。</w:t>
            </w:r>
            <w:r>
              <w:rPr>
                <w:rFonts w:hint="eastAsia" w:ascii="宋体" w:hAnsi="宋体" w:eastAsia="宋体"/>
                <w:color w:val="000000" w:themeColor="text1"/>
                <w:sz w:val="18"/>
                <w:szCs w:val="18"/>
                <w14:textFill>
                  <w14:solidFill>
                    <w14:schemeClr w14:val="tx1"/>
                  </w14:solidFill>
                </w14:textFill>
              </w:rPr>
              <w:t>），行业里是否普遍满足？</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B5D14A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广西玉柴机器股份有限公司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CED69D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不采纳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B03030C">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r>
              <w:rPr>
                <w:rFonts w:hint="eastAsia" w:ascii="宋体" w:hAnsi="宋体" w:eastAsia="宋体" w:cs="Times New Roman"/>
                <w:color w:val="000000" w:themeColor="text1"/>
                <w:sz w:val="18"/>
                <w:szCs w:val="18"/>
                <w14:textFill>
                  <w14:solidFill>
                    <w14:schemeClr w14:val="tx1"/>
                  </w14:solidFill>
                </w14:textFill>
              </w:rPr>
              <w:t>该试验模拟的是探头受到大气泡影响造成的浓度失效，若试验中后无法满足A级，则在客户实际使用过程中有失效风险</w:t>
            </w:r>
          </w:p>
        </w:tc>
      </w:tr>
      <w:tr w14:paraId="43943437">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AEF193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32</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1A68668">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7</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C7F0531">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功能可靠性-模拟小气泡附着试验-功能状态要求中“有效浓度值”与“初始稳定值”的关系？</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FF7189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广西玉柴机器股份有限公司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577595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EABE59B">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hint="eastAsia" w:ascii="宋体" w:hAnsi="宋体" w:eastAsia="宋体" w:cs="Times New Roman"/>
                <w:color w:val="000000" w:themeColor="text1"/>
                <w:sz w:val="18"/>
                <w:szCs w:val="18"/>
                <w14:textFill>
                  <w14:solidFill>
                    <w14:schemeClr w14:val="tx1"/>
                  </w14:solidFill>
                </w14:textFill>
              </w:rPr>
            </w:pPr>
          </w:p>
        </w:tc>
      </w:tr>
      <w:tr w14:paraId="139B3BD6">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D89FA2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33</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14E0D0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olor w:val="000000" w:themeColor="text1"/>
                <w:sz w:val="18"/>
                <w:szCs w:val="18"/>
                <w14:textFill>
                  <w14:solidFill>
                    <w14:schemeClr w14:val="tx1"/>
                  </w14:solidFill>
                </w14:textFill>
              </w:rPr>
            </w:pPr>
            <w:r>
              <w:rPr>
                <w:rFonts w:ascii="宋体" w:hAnsi="宋体" w:eastAsia="宋体"/>
                <w:color w:val="000000" w:themeColor="text1"/>
                <w:sz w:val="18"/>
                <w:szCs w:val="18"/>
                <w14:textFill>
                  <w14:solidFill>
                    <w14:schemeClr w14:val="tx1"/>
                  </w14:solidFill>
                </w14:textFill>
              </w:rPr>
              <w:t>附录</w:t>
            </w:r>
            <w:r>
              <w:rPr>
                <w:rFonts w:hint="eastAsia" w:ascii="宋体" w:hAnsi="宋体" w:eastAsia="宋体"/>
                <w:color w:val="000000" w:themeColor="text1"/>
                <w:sz w:val="18"/>
                <w:szCs w:val="18"/>
                <w14:textFill>
                  <w14:solidFill>
                    <w14:schemeClr w14:val="tx1"/>
                  </w14:solidFill>
                </w14:textFill>
              </w:rPr>
              <w:t>A</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A565FC4">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ascii="宋体" w:hAnsi="宋体" w:eastAsia="宋体"/>
                <w:color w:val="000000" w:themeColor="text1"/>
                <w:sz w:val="18"/>
                <w:szCs w:val="18"/>
                <w14:textFill>
                  <w14:solidFill>
                    <w14:schemeClr w14:val="tx1"/>
                  </w14:solidFill>
                </w14:textFill>
              </w:rPr>
              <w:t>需单独分页。</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EA4D23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广西玉柴机器股份有限公司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4219D63">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89FC026">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4399C62B">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55345E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34</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6AD7B7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olor w:val="000000" w:themeColor="text1"/>
                <w:sz w:val="18"/>
                <w:szCs w:val="18"/>
                <w14:textFill>
                  <w14:solidFill>
                    <w14:schemeClr w14:val="tx1"/>
                  </w14:solidFill>
                </w14:textFill>
              </w:rPr>
            </w:pPr>
            <w:r>
              <w:rPr>
                <w:rFonts w:ascii="宋体" w:hAnsi="宋体" w:eastAsia="宋体"/>
                <w:color w:val="000000" w:themeColor="text1"/>
                <w:sz w:val="18"/>
                <w:szCs w:val="18"/>
                <w14:textFill>
                  <w14:solidFill>
                    <w14:schemeClr w14:val="tx1"/>
                  </w14:solidFill>
                </w14:textFill>
              </w:rPr>
              <w:t>附录</w:t>
            </w:r>
            <w:r>
              <w:rPr>
                <w:rFonts w:hint="eastAsia" w:ascii="宋体" w:hAnsi="宋体" w:eastAsia="宋体"/>
                <w:color w:val="000000" w:themeColor="text1"/>
                <w:sz w:val="18"/>
                <w:szCs w:val="18"/>
                <w14:textFill>
                  <w14:solidFill>
                    <w14:schemeClr w14:val="tx1"/>
                  </w14:solidFill>
                </w14:textFill>
              </w:rPr>
              <w:t>A</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8678309">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报告模板中增加试验条件</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61AF08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中机科（北京）车辆检测工程研究院有限公司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28B038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A121AC5">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44A1D7B6">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D5427D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35</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089B3E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附录</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DC8944A">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附录A、附录B在上文中未提及</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2EDCB1F">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潍柴动力股份有限公司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796683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028B483">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10DBE081">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FDD3DF5">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36</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59E9581">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附录B</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FDA43DE">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试验顺序建议分组并联进行，而不是串联进行；因为串联进行耗时长，且样品有过试验的可能性。</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36A5280">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70EBAA7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BF7EA15">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p>
        </w:tc>
      </w:tr>
      <w:tr w14:paraId="37AF4660">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4E47BB7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37</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0F09A94">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ALL</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966F663">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需要定义测试之前需用高精度标准浓度计确认测试溶液浓度</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E06E68B">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14:textFill>
                  <w14:solidFill>
                    <w14:schemeClr w14:val="tx1"/>
                  </w14:solidFill>
                </w14:textFill>
              </w:rPr>
              <w:t>广东正扬传感科技股份有限公司</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9C72D47">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不采纳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920BAE9">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液位测试项主要考察传感器的液位输出可靠性，与浓度无关不做浓度的相关测量</w:t>
            </w:r>
          </w:p>
        </w:tc>
      </w:tr>
      <w:tr w14:paraId="64ECE6A2">
        <w:tblPrEx>
          <w:tblCellMar>
            <w:top w:w="15" w:type="dxa"/>
            <w:left w:w="15" w:type="dxa"/>
            <w:bottom w:w="15" w:type="dxa"/>
            <w:right w:w="15" w:type="dxa"/>
          </w:tblCellMar>
        </w:tblPrEx>
        <w:tc>
          <w:tcPr>
            <w:tcW w:w="29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FCFD849">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Times New Roman"/>
                <w:color w:val="000000" w:themeColor="text1"/>
                <w:kern w:val="0"/>
                <w:sz w:val="18"/>
                <w:szCs w:val="18"/>
                <w:lang w:bidi="ar"/>
                <w14:textFill>
                  <w14:solidFill>
                    <w14:schemeClr w14:val="tx1"/>
                  </w14:solidFill>
                </w14:textFill>
              </w:rPr>
            </w:pPr>
            <w:r>
              <w:rPr>
                <w:rFonts w:hint="eastAsia" w:ascii="宋体" w:hAnsi="宋体" w:eastAsia="宋体" w:cs="Times New Roman"/>
                <w:color w:val="000000" w:themeColor="text1"/>
                <w:kern w:val="0"/>
                <w:sz w:val="18"/>
                <w:szCs w:val="18"/>
                <w:lang w:bidi="ar"/>
                <w14:textFill>
                  <w14:solidFill>
                    <w14:schemeClr w14:val="tx1"/>
                  </w14:solidFill>
                </w14:textFill>
              </w:rPr>
              <w:t>38</w:t>
            </w:r>
          </w:p>
        </w:tc>
        <w:tc>
          <w:tcPr>
            <w:tcW w:w="49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3A925F6">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default" w:ascii="宋体" w:hAnsi="宋体" w:eastAsia="宋体"/>
                <w:color w:val="000000" w:themeColor="text1"/>
                <w:sz w:val="18"/>
                <w:szCs w:val="18"/>
                <w:lang w:val="en-US" w:eastAsia="zh-CN"/>
                <w14:textFill>
                  <w14:solidFill>
                    <w14:schemeClr w14:val="tx1"/>
                  </w14:solidFill>
                </w14:textFill>
              </w:rPr>
            </w:pPr>
            <w:r>
              <w:rPr>
                <w:rFonts w:hint="eastAsia" w:ascii="宋体" w:hAnsi="宋体" w:eastAsia="宋体"/>
                <w:color w:val="000000" w:themeColor="text1"/>
                <w:sz w:val="18"/>
                <w:szCs w:val="18"/>
                <w:lang w:val="en-US" w:eastAsia="zh-CN"/>
                <w14:textFill>
                  <w14:solidFill>
                    <w14:schemeClr w14:val="tx1"/>
                  </w14:solidFill>
                </w14:textFill>
              </w:rPr>
              <w:t>参考文献</w:t>
            </w:r>
          </w:p>
        </w:tc>
        <w:tc>
          <w:tcPr>
            <w:tcW w:w="1760"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B22261C">
            <w:pPr>
              <w:keepNext w:val="0"/>
              <w:keepLines w:val="0"/>
              <w:pageBreakBefore w:val="0"/>
              <w:kinsoku/>
              <w:wordWrap/>
              <w:overflowPunct/>
              <w:topLinePunct w:val="0"/>
              <w:autoSpaceDE/>
              <w:autoSpaceDN/>
              <w:bidi w:val="0"/>
              <w:adjustRightInd/>
              <w:snapToGrid/>
              <w:spacing w:line="240" w:lineRule="auto"/>
              <w:jc w:val="left"/>
              <w:rPr>
                <w:rFonts w:hint="eastAsia" w:ascii="宋体" w:hAnsi="宋体" w:eastAsia="宋体"/>
                <w:color w:val="000000" w:themeColor="text1"/>
                <w:sz w:val="18"/>
                <w:szCs w:val="18"/>
                <w14:textFill>
                  <w14:solidFill>
                    <w14:schemeClr w14:val="tx1"/>
                  </w14:solidFill>
                </w14:textFill>
              </w:rPr>
            </w:pPr>
            <w:r>
              <w:rPr>
                <w:rFonts w:ascii="宋体" w:hAnsi="宋体" w:eastAsia="宋体"/>
                <w:color w:val="000000" w:themeColor="text1"/>
                <w:sz w:val="18"/>
                <w:szCs w:val="18"/>
                <w14:textFill>
                  <w14:solidFill>
                    <w14:schemeClr w14:val="tx1"/>
                  </w14:solidFill>
                </w14:textFill>
              </w:rPr>
              <w:t>本标准如有参考文件，建议在标准的最后</w:t>
            </w:r>
            <w:r>
              <w:rPr>
                <w:rFonts w:hint="eastAsia" w:ascii="宋体" w:hAnsi="宋体" w:eastAsia="宋体"/>
                <w:color w:val="000000" w:themeColor="text1"/>
                <w:sz w:val="18"/>
                <w:szCs w:val="18"/>
                <w14:textFill>
                  <w14:solidFill>
                    <w14:schemeClr w14:val="tx1"/>
                  </w14:solidFill>
                </w14:textFill>
              </w:rPr>
              <w:t>部分</w:t>
            </w:r>
            <w:r>
              <w:rPr>
                <w:rFonts w:ascii="宋体" w:hAnsi="宋体" w:eastAsia="宋体"/>
                <w:color w:val="000000" w:themeColor="text1"/>
                <w:sz w:val="18"/>
                <w:szCs w:val="18"/>
                <w14:textFill>
                  <w14:solidFill>
                    <w14:schemeClr w14:val="tx1"/>
                  </w14:solidFill>
                </w14:textFill>
              </w:rPr>
              <w:t>附上。</w:t>
            </w:r>
          </w:p>
        </w:tc>
        <w:tc>
          <w:tcPr>
            <w:tcW w:w="78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81CCE8D">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olor w:val="000000" w:themeColor="text1"/>
                <w:sz w:val="18"/>
                <w:szCs w:val="18"/>
                <w14:textFill>
                  <w14:solidFill>
                    <w14:schemeClr w14:val="tx1"/>
                  </w14:solidFill>
                </w14:textFill>
              </w:rPr>
            </w:pPr>
            <w:r>
              <w:rPr>
                <w:rFonts w:hint="eastAsia" w:ascii="宋体" w:hAnsi="宋体" w:eastAsia="宋体"/>
                <w:color w:val="000000" w:themeColor="text1"/>
                <w:sz w:val="18"/>
                <w:szCs w:val="18"/>
                <w:lang w:val="en-US" w:eastAsia="zh-CN"/>
                <w14:textFill>
                  <w14:solidFill>
                    <w14:schemeClr w14:val="tx1"/>
                  </w14:solidFill>
                </w14:textFill>
              </w:rPr>
              <w:t>山东</w:t>
            </w:r>
            <w:r>
              <w:rPr>
                <w:rFonts w:hint="eastAsia" w:ascii="宋体" w:hAnsi="宋体" w:eastAsia="宋体"/>
                <w:color w:val="000000" w:themeColor="text1"/>
                <w:sz w:val="18"/>
                <w:szCs w:val="18"/>
                <w14:textFill>
                  <w14:solidFill>
                    <w14:schemeClr w14:val="tx1"/>
                  </w14:solidFill>
                </w14:textFill>
              </w:rPr>
              <w:t>省</w:t>
            </w:r>
            <w:r>
              <w:rPr>
                <w:rFonts w:hint="eastAsia" w:ascii="宋体" w:hAnsi="宋体" w:eastAsia="宋体"/>
                <w:color w:val="000000" w:themeColor="text1"/>
                <w:sz w:val="18"/>
                <w:szCs w:val="18"/>
                <w:lang w:val="en-US" w:eastAsia="zh-CN"/>
                <w14:textFill>
                  <w14:solidFill>
                    <w14:schemeClr w14:val="tx1"/>
                  </w14:solidFill>
                </w14:textFill>
              </w:rPr>
              <w:t>标准化</w:t>
            </w:r>
            <w:r>
              <w:rPr>
                <w:rFonts w:hint="eastAsia" w:ascii="宋体" w:hAnsi="宋体" w:eastAsia="宋体"/>
                <w:color w:val="000000" w:themeColor="text1"/>
                <w:sz w:val="18"/>
                <w:szCs w:val="18"/>
                <w14:textFill>
                  <w14:solidFill>
                    <w14:schemeClr w14:val="tx1"/>
                  </w14:solidFill>
                </w14:textFill>
              </w:rPr>
              <w:t>院</w:t>
            </w:r>
          </w:p>
        </w:tc>
        <w:tc>
          <w:tcPr>
            <w:tcW w:w="509"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42CAA8C">
            <w:pPr>
              <w:keepNext w:val="0"/>
              <w:keepLines w:val="0"/>
              <w:pageBreakBefore w:val="0"/>
              <w:widowControl/>
              <w:kinsoku/>
              <w:wordWrap/>
              <w:overflowPunct/>
              <w:topLinePunct w:val="0"/>
              <w:autoSpaceDE/>
              <w:autoSpaceDN/>
              <w:bidi w:val="0"/>
              <w:adjustRightInd/>
              <w:snapToGrid/>
              <w:spacing w:line="240" w:lineRule="auto"/>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不采纳</w:t>
            </w:r>
          </w:p>
        </w:tc>
        <w:tc>
          <w:tcPr>
            <w:tcW w:w="1155" w:type="pct"/>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5097A6F5">
            <w:pPr>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宋体" w:hAnsi="宋体" w:eastAsia="宋体" w:cs="Times New Roman"/>
                <w:color w:val="000000" w:themeColor="text1"/>
                <w:sz w:val="18"/>
                <w:szCs w:val="18"/>
                <w14:textFill>
                  <w14:solidFill>
                    <w14:schemeClr w14:val="tx1"/>
                  </w14:solidFill>
                </w14:textFill>
              </w:rPr>
            </w:pPr>
            <w:r>
              <w:rPr>
                <w:rFonts w:hint="eastAsia" w:ascii="Times New Roman" w:hAnsi="Times New Roman" w:cs="Times New Roman"/>
                <w:color w:val="000000" w:themeColor="text1"/>
                <w:sz w:val="18"/>
                <w:szCs w:val="18"/>
                <w14:textFill>
                  <w14:solidFill>
                    <w14:schemeClr w14:val="tx1"/>
                  </w14:solidFill>
                </w14:textFill>
              </w:rPr>
              <w:t>本标准无参考标准</w:t>
            </w:r>
          </w:p>
        </w:tc>
      </w:tr>
    </w:tbl>
    <w:p w14:paraId="68C8C1F2">
      <w:r>
        <w:rPr>
          <w:rFonts w:hint="eastAsia"/>
        </w:rPr>
        <w:t>说明：① 发送“征求意见稿”的单位数：68个；</w:t>
      </w:r>
    </w:p>
    <w:p w14:paraId="12A3EE6F">
      <w:r>
        <w:rPr>
          <w:rFonts w:hint="eastAsia"/>
        </w:rPr>
        <w:tab/>
      </w:r>
      <w:r>
        <w:rPr>
          <w:rFonts w:hint="eastAsia"/>
        </w:rPr>
        <w:t xml:space="preserve">  ② 收到“征求意见稿”后，回函的单位数：6个；</w:t>
      </w:r>
    </w:p>
    <w:p w14:paraId="6B2A8506">
      <w:pPr>
        <w:ind w:firstLine="645"/>
        <w:rPr>
          <w:rFonts w:hint="eastAsia" w:ascii="宋体" w:hAnsi="宋体"/>
        </w:rPr>
      </w:pPr>
      <w:r>
        <w:rPr>
          <w:rFonts w:hint="eastAsia" w:ascii="宋体" w:hAnsi="宋体"/>
        </w:rPr>
        <w:t xml:space="preserve">③ </w:t>
      </w:r>
      <w:r>
        <w:rPr>
          <w:rFonts w:hint="eastAsia"/>
        </w:rPr>
        <w:t>收到“征求意见稿”后，回函并有建议或意见的单位数：6个；</w:t>
      </w:r>
    </w:p>
    <w:p w14:paraId="5AF22585">
      <w:pPr>
        <w:ind w:firstLine="645"/>
        <w:rPr>
          <w:rFonts w:hint="eastAsia"/>
        </w:rPr>
      </w:pPr>
      <w:r>
        <w:rPr>
          <w:rFonts w:hint="eastAsia" w:ascii="宋体" w:hAnsi="宋体"/>
        </w:rPr>
        <w:t>④ 没有回函的单位数：</w:t>
      </w:r>
      <w:r>
        <w:rPr>
          <w:rFonts w:hint="eastAsia"/>
        </w:rPr>
        <w:t>62</w:t>
      </w:r>
      <w:r>
        <w:rPr>
          <w:rFonts w:hint="eastAsia" w:ascii="宋体" w:hAnsi="宋体"/>
        </w:rPr>
        <w:t>个。</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SSK--GBK1-0">
    <w:altName w:val="Times New Roman"/>
    <w:panose1 w:val="00000000000000000000"/>
    <w:charset w:val="00"/>
    <w:family w:val="roma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676ACE"/>
    <w:rsid w:val="000031CD"/>
    <w:rsid w:val="00114073"/>
    <w:rsid w:val="00262BC8"/>
    <w:rsid w:val="002823FA"/>
    <w:rsid w:val="004970C7"/>
    <w:rsid w:val="00527935"/>
    <w:rsid w:val="0058472C"/>
    <w:rsid w:val="00585463"/>
    <w:rsid w:val="005B1D3C"/>
    <w:rsid w:val="006057EF"/>
    <w:rsid w:val="00664087"/>
    <w:rsid w:val="0070694F"/>
    <w:rsid w:val="0072543E"/>
    <w:rsid w:val="008C2AA6"/>
    <w:rsid w:val="00982C34"/>
    <w:rsid w:val="009842F4"/>
    <w:rsid w:val="009944CC"/>
    <w:rsid w:val="00B2087F"/>
    <w:rsid w:val="00BE4942"/>
    <w:rsid w:val="00C87DBB"/>
    <w:rsid w:val="00CA63FA"/>
    <w:rsid w:val="00CE0E94"/>
    <w:rsid w:val="00E27EC9"/>
    <w:rsid w:val="00E87DED"/>
    <w:rsid w:val="00F33EAA"/>
    <w:rsid w:val="00F758BC"/>
    <w:rsid w:val="03676ACE"/>
    <w:rsid w:val="09402E66"/>
    <w:rsid w:val="197D38C3"/>
    <w:rsid w:val="46141FF1"/>
    <w:rsid w:val="509B0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Hyperlink"/>
    <w:basedOn w:val="4"/>
    <w:qFormat/>
    <w:uiPriority w:val="0"/>
    <w:rPr>
      <w:color w:val="0000FF"/>
      <w:u w:val="single"/>
    </w:rPr>
  </w:style>
  <w:style w:type="character" w:customStyle="1" w:styleId="6">
    <w:name w:val="fontstyle01"/>
    <w:qFormat/>
    <w:uiPriority w:val="0"/>
    <w:rPr>
      <w:rFonts w:hint="default" w:ascii="FZSSK--GBK1-0" w:hAnsi="FZSSK--GBK1-0"/>
      <w:color w:val="000000"/>
      <w:sz w:val="20"/>
      <w:szCs w:val="20"/>
    </w:rPr>
  </w:style>
  <w:style w:type="paragraph" w:styleId="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2316</Words>
  <Characters>2641</Characters>
  <Lines>415</Lines>
  <Paragraphs>300</Paragraphs>
  <TotalTime>8</TotalTime>
  <ScaleCrop>false</ScaleCrop>
  <LinksUpToDate>false</LinksUpToDate>
  <CharactersWithSpaces>2724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2025-03-12T07:32:00Z</dcterms:created>
  <dc:creator>lenovo</dc:creator>
  <cp:lastModifiedBy>lenovo</cp:lastModifiedBy>
  <dcterms:modified xsi:type="dcterms:W3CDTF">2025-06-30T07:10:37Z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B51E3E68A0E945499CC4DF45EBB4DD92_13</vt:lpwstr>
  </property>
  <property fmtid="{D5CDD505-2E9C-101B-9397-08002B2CF9AE}" pid="4" name="KSOTemplateDocerSaveRecord">
    <vt:lpwstr>eyJoZGlkIjoiOWMwNjFlZjc2NzE0MTAxMzIyMmVhNTJjMjU5ZTVkNzIiLCJ1c2VySWQiOiI5NzAwNzkxNDAifQ==</vt:lpwstr>
  </property>
  <property fmtid="{D5CDD505-2E9C-101B-9397-08002B2CF9AE}" pid="5" name="fileWhereFroms">
    <vt:lpwstr>PpjeLB1gRN0lwrPqMaCTksiFosqFtMRcC9dIYr+GK9b+iMqecxO6jiN0rmiUo1k0HQCpUk3sgxRWvNs4kCqwIq3/0/Mg/Fget/lvPqcmx/SL1Kex5PfDuKQOg5o6epURuDZ6gm29ALEjd8ychG6T4IO1Tb++DoaEZqdzDMiPVM7gpplHWwjvblMICmRH2WJP2LHycS8SCoKBcQpDqqckxx+P3R68x2A5EmdQI4w/Afco75IKDRs24Kt/5MZUVaSx1UUE2/hVfw+XBP4/t+Sas4Vctg72JIyQaWNnO8ldmp7z4Wsk+OJpWib7B/VNPmYzJNe3Rg+qD8XPn0IARleiGw==</vt:lpwstr>
  </property>
</Properties>
</file>