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bCs/>
          <w:sz w:val="28"/>
          <w:szCs w:val="28"/>
        </w:rPr>
      </w:pPr>
      <w:bookmarkStart w:id="0" w:name="_Hlk40173556"/>
      <w:bookmarkStart w:id="1" w:name="_Hlk40174277"/>
      <w:r>
        <w:rPr>
          <w:rFonts w:hint="eastAsia" w:ascii="黑体" w:hAnsi="黑体" w:eastAsia="黑体"/>
          <w:bCs/>
          <w:sz w:val="28"/>
          <w:szCs w:val="28"/>
        </w:rPr>
        <w:t>附件1</w:t>
      </w:r>
      <w:r>
        <w:rPr>
          <w:rFonts w:hint="eastAsia" w:ascii="黑体" w:hAnsi="黑体" w:eastAsia="黑体"/>
          <w:bCs/>
          <w:sz w:val="28"/>
          <w:szCs w:val="28"/>
          <w:lang w:val="en-US" w:eastAsia="zh-CN"/>
        </w:rPr>
        <w:t xml:space="preserve"> 中文</w:t>
      </w:r>
      <w:r>
        <w:rPr>
          <w:rFonts w:hint="eastAsia" w:ascii="黑体" w:hAnsi="黑体" w:eastAsia="黑体"/>
          <w:bCs/>
          <w:sz w:val="28"/>
          <w:szCs w:val="28"/>
        </w:rPr>
        <w:t>撰稿论文格式</w:t>
      </w:r>
    </w:p>
    <w:p>
      <w:pPr>
        <w:jc w:val="center"/>
        <w:rPr>
          <w:rFonts w:eastAsia="黑体"/>
          <w:b/>
          <w:bCs/>
          <w:sz w:val="44"/>
        </w:rPr>
      </w:pPr>
      <w:r>
        <w:rPr>
          <w:rFonts w:hint="eastAsia" w:eastAsia="黑体"/>
          <w:b/>
          <w:bCs/>
          <w:sz w:val="44"/>
        </w:rPr>
        <w:t xml:space="preserve">题       名 </w:t>
      </w:r>
      <w:r>
        <w:rPr>
          <w:rFonts w:hint="eastAsia" w:eastAsia="黑体"/>
          <w:b/>
          <w:bCs/>
          <w:sz w:val="28"/>
        </w:rPr>
        <w:t>(二黑)</w:t>
      </w:r>
    </w:p>
    <w:p>
      <w:pPr>
        <w:ind w:firstLine="2730" w:firstLineChars="1300"/>
      </w:pPr>
      <w:r>
        <w:rPr>
          <w:rFonts w:hint="eastAsia"/>
        </w:rPr>
        <w:t>作者</w:t>
      </w:r>
      <w:r>
        <w:rPr>
          <w:rFonts w:hint="eastAsia"/>
          <w:vertAlign w:val="superscript"/>
        </w:rPr>
        <w:t>1</w:t>
      </w:r>
      <w:r>
        <w:rPr>
          <w:rFonts w:hint="eastAsia"/>
        </w:rPr>
        <w:t>，作者</w:t>
      </w:r>
      <w:r>
        <w:rPr>
          <w:rFonts w:hint="eastAsia"/>
          <w:vertAlign w:val="superscript"/>
        </w:rPr>
        <w:t>2</w:t>
      </w:r>
      <w:r>
        <w:rPr>
          <w:rFonts w:hint="eastAsia"/>
        </w:rPr>
        <w:t>，作者</w:t>
      </w:r>
      <w:r>
        <w:rPr>
          <w:rFonts w:hint="eastAsia"/>
          <w:vertAlign w:val="superscript"/>
        </w:rPr>
        <w:t>3</w:t>
      </w:r>
      <w:r>
        <w:rPr>
          <w:rFonts w:hint="eastAsia"/>
        </w:rPr>
        <w:t xml:space="preserve">，（小四仿宋） </w:t>
      </w:r>
    </w:p>
    <w:p>
      <w:pPr>
        <w:ind w:firstLine="359" w:firstLineChars="171"/>
        <w:jc w:val="center"/>
      </w:pPr>
      <w:r>
        <w:rPr>
          <w:rFonts w:hint="eastAsia"/>
        </w:rPr>
        <w:t>（1第一作者单位名称, 省 市 邮编；2 第二作者单位名称, 省 市 邮编; 3……， 五楷）</w:t>
      </w:r>
    </w:p>
    <w:p>
      <w:r>
        <w:rPr>
          <w:rFonts w:hint="eastAsia"/>
          <w:b/>
        </w:rPr>
        <w:t>摘要（小五黑）</w:t>
      </w:r>
      <w:r>
        <w:rPr>
          <w:rFonts w:hint="eastAsia"/>
        </w:rPr>
        <w:t>：包括目的、方法、结果及结论，250字左右。（小五宋）</w:t>
      </w:r>
    </w:p>
    <w:p>
      <w:r>
        <w:rPr>
          <w:rFonts w:hint="eastAsia"/>
          <w:b/>
        </w:rPr>
        <w:t>关键词（小五黑）</w:t>
      </w:r>
      <w:r>
        <w:rPr>
          <w:rFonts w:hint="eastAsia"/>
        </w:rPr>
        <w:t>：关键词1；关键词2；关键词3；……（小五宋）</w:t>
      </w:r>
    </w:p>
    <w:p>
      <w:pPr>
        <w:ind w:firstLine="413" w:firstLineChars="196"/>
        <w:rPr>
          <w:b/>
          <w:bCs/>
          <w:szCs w:val="21"/>
        </w:rPr>
      </w:pPr>
    </w:p>
    <w:p>
      <w:pPr>
        <w:spacing w:line="60" w:lineRule="auto"/>
        <w:ind w:firstLine="413" w:firstLineChars="196"/>
        <w:rPr>
          <w:b/>
          <w:bCs/>
          <w:szCs w:val="21"/>
        </w:rPr>
      </w:pPr>
      <w:r>
        <w:rPr>
          <w:rFonts w:hint="eastAsia"/>
          <w:b/>
          <w:bCs/>
          <w:szCs w:val="21"/>
        </w:rPr>
        <w:t>正文</w:t>
      </w:r>
    </w:p>
    <w:p>
      <w:pPr>
        <w:pStyle w:val="8"/>
        <w:spacing w:line="60" w:lineRule="auto"/>
        <w:ind w:firstLine="422" w:firstLineChars="200"/>
        <w:rPr>
          <w:rStyle w:val="11"/>
          <w:b w:val="0"/>
          <w:bCs w:val="0"/>
          <w:color w:val="000000"/>
          <w:sz w:val="21"/>
          <w:szCs w:val="20"/>
        </w:rPr>
      </w:pPr>
      <w:r>
        <w:rPr>
          <w:rStyle w:val="11"/>
          <w:rFonts w:hint="eastAsia"/>
          <w:color w:val="000000"/>
          <w:sz w:val="21"/>
          <w:szCs w:val="20"/>
        </w:rPr>
        <w:t>版式：</w:t>
      </w:r>
      <w:r>
        <w:rPr>
          <w:rStyle w:val="11"/>
          <w:rFonts w:hint="eastAsia"/>
          <w:b w:val="0"/>
          <w:bCs w:val="0"/>
          <w:color w:val="000000"/>
          <w:sz w:val="21"/>
          <w:szCs w:val="20"/>
        </w:rPr>
        <w:t>五宋，行距固定值15.6磅，双栏排版，版心尺寸255×165（单位：mm）</w:t>
      </w:r>
    </w:p>
    <w:p>
      <w:pPr>
        <w:pStyle w:val="8"/>
        <w:spacing w:line="60" w:lineRule="auto"/>
        <w:ind w:firstLine="422" w:firstLineChars="200"/>
        <w:rPr>
          <w:color w:val="000000"/>
          <w:sz w:val="21"/>
          <w:szCs w:val="20"/>
        </w:rPr>
      </w:pPr>
      <w:r>
        <w:rPr>
          <w:rStyle w:val="11"/>
          <w:rFonts w:hint="eastAsia"/>
          <w:color w:val="000000"/>
          <w:sz w:val="21"/>
          <w:szCs w:val="20"/>
        </w:rPr>
        <w:t>标题层次</w:t>
      </w:r>
      <w:r>
        <w:rPr>
          <w:rFonts w:hint="eastAsia"/>
          <w:color w:val="000000"/>
          <w:sz w:val="21"/>
          <w:szCs w:val="20"/>
        </w:rPr>
        <w:t>正文层次标题应简短明确，各层次序号依次为“</w:t>
      </w:r>
      <w:r>
        <w:rPr>
          <w:color w:val="000000"/>
          <w:sz w:val="21"/>
          <w:szCs w:val="20"/>
        </w:rPr>
        <w:t xml:space="preserve"> 1 ” , “ 1.1 ”，“ 1.1.1 ”等，一律左顶格，后空一格写标题。</w:t>
      </w:r>
      <w:r>
        <w:rPr>
          <w:rFonts w:hint="eastAsia"/>
          <w:color w:val="000000"/>
          <w:sz w:val="21"/>
          <w:szCs w:val="20"/>
        </w:rPr>
        <w:t>第一层标题为小四黑，第二层标题为五黑，第三层为五黑；</w:t>
      </w:r>
      <w:r>
        <w:rPr>
          <w:color w:val="000000"/>
          <w:sz w:val="21"/>
          <w:szCs w:val="20"/>
        </w:rPr>
        <w:t xml:space="preserve">若“ 1. 1.1 ” 后还有小层次，则分别另起行 ( 空两格 ) 用“ </w:t>
      </w:r>
      <w:r>
        <w:rPr>
          <w:rStyle w:val="11"/>
          <w:color w:val="000000"/>
          <w:sz w:val="21"/>
          <w:szCs w:val="20"/>
        </w:rPr>
        <w:t xml:space="preserve">a. </w:t>
      </w:r>
      <w:r>
        <w:rPr>
          <w:rFonts w:hint="eastAsia"/>
          <w:color w:val="000000"/>
          <w:sz w:val="21"/>
          <w:szCs w:val="20"/>
        </w:rPr>
        <w:t>”，“</w:t>
      </w:r>
      <w:r>
        <w:rPr>
          <w:rStyle w:val="11"/>
          <w:color w:val="000000"/>
          <w:sz w:val="21"/>
          <w:szCs w:val="20"/>
        </w:rPr>
        <w:t xml:space="preserve">b. </w:t>
      </w:r>
      <w:r>
        <w:rPr>
          <w:rFonts w:hint="eastAsia"/>
          <w:color w:val="000000"/>
          <w:sz w:val="21"/>
          <w:szCs w:val="20"/>
        </w:rPr>
        <w:t>”，“</w:t>
      </w:r>
      <w:r>
        <w:rPr>
          <w:rStyle w:val="11"/>
          <w:color w:val="000000"/>
          <w:sz w:val="21"/>
          <w:szCs w:val="20"/>
        </w:rPr>
        <w:t xml:space="preserve">c. </w:t>
      </w:r>
      <w:r>
        <w:rPr>
          <w:rFonts w:hint="eastAsia"/>
          <w:color w:val="000000"/>
          <w:sz w:val="21"/>
          <w:szCs w:val="20"/>
        </w:rPr>
        <w:t>”，…</w:t>
      </w:r>
      <w:r>
        <w:rPr>
          <w:color w:val="000000"/>
          <w:sz w:val="21"/>
          <w:szCs w:val="20"/>
        </w:rPr>
        <w:t xml:space="preserve"> 表示</w:t>
      </w:r>
      <w:r>
        <w:rPr>
          <w:rFonts w:hint="eastAsia"/>
          <w:color w:val="000000"/>
          <w:sz w:val="21"/>
          <w:szCs w:val="20"/>
        </w:rPr>
        <w:t>（五黑）</w:t>
      </w:r>
      <w:r>
        <w:rPr>
          <w:color w:val="000000"/>
          <w:sz w:val="21"/>
          <w:szCs w:val="20"/>
        </w:rPr>
        <w:t>。</w:t>
      </w:r>
    </w:p>
    <w:p>
      <w:pPr>
        <w:pStyle w:val="8"/>
        <w:spacing w:before="0" w:beforeAutospacing="0" w:after="0" w:afterAutospacing="0"/>
        <w:ind w:firstLine="422" w:firstLineChars="200"/>
        <w:rPr>
          <w:b/>
          <w:bCs/>
          <w:color w:val="000000"/>
          <w:sz w:val="21"/>
          <w:szCs w:val="20"/>
        </w:rPr>
      </w:pPr>
      <w:r>
        <w:rPr>
          <w:b/>
          <w:bCs/>
          <w:color w:val="000000"/>
          <w:sz w:val="21"/>
          <w:szCs w:val="20"/>
        </w:rPr>
        <w:t xml:space="preserve">引言不单列标题。 </w:t>
      </w:r>
    </w:p>
    <w:p>
      <w:pPr>
        <w:ind w:firstLine="361" w:firstLineChars="171"/>
        <w:rPr>
          <w:szCs w:val="21"/>
        </w:rPr>
      </w:pPr>
      <w:r>
        <w:rPr>
          <w:rFonts w:hint="eastAsia"/>
          <w:b/>
          <w:bCs/>
          <w:szCs w:val="21"/>
        </w:rPr>
        <w:t>正斜体</w:t>
      </w:r>
      <w:r>
        <w:rPr>
          <w:rFonts w:hint="eastAsia"/>
          <w:szCs w:val="21"/>
        </w:rPr>
        <w:t>：变量名称用</w:t>
      </w:r>
      <w:r>
        <w:rPr>
          <w:rFonts w:hint="eastAsia"/>
          <w:szCs w:val="21"/>
          <w:u w:val="single"/>
        </w:rPr>
        <w:t>斜体单字母</w:t>
      </w:r>
      <w:r>
        <w:rPr>
          <w:rFonts w:hint="eastAsia"/>
          <w:szCs w:val="21"/>
        </w:rPr>
        <w:t>表示，需要区分时加下标；下标由</w:t>
      </w:r>
      <w:r>
        <w:rPr>
          <w:rFonts w:hint="eastAsia"/>
          <w:szCs w:val="21"/>
          <w:u w:val="single"/>
        </w:rPr>
        <w:t>文字</w:t>
      </w:r>
      <w:r>
        <w:rPr>
          <w:rFonts w:hint="eastAsia"/>
          <w:szCs w:val="21"/>
        </w:rPr>
        <w:t>转化来的说明性字符用</w:t>
      </w:r>
      <w:r>
        <w:rPr>
          <w:rFonts w:hint="eastAsia"/>
          <w:szCs w:val="21"/>
          <w:u w:val="single"/>
        </w:rPr>
        <w:t>正体</w:t>
      </w:r>
      <w:r>
        <w:rPr>
          <w:rFonts w:hint="eastAsia"/>
          <w:szCs w:val="21"/>
        </w:rPr>
        <w:t>，由</w:t>
      </w:r>
      <w:r>
        <w:rPr>
          <w:rFonts w:hint="eastAsia"/>
          <w:szCs w:val="21"/>
          <w:u w:val="single"/>
        </w:rPr>
        <w:t>变量</w:t>
      </w:r>
      <w:r>
        <w:rPr>
          <w:rFonts w:hint="eastAsia"/>
          <w:szCs w:val="21"/>
        </w:rPr>
        <w:t>转化来的用</w:t>
      </w:r>
      <w:r>
        <w:rPr>
          <w:rFonts w:hint="eastAsia"/>
          <w:szCs w:val="21"/>
          <w:u w:val="single"/>
        </w:rPr>
        <w:t>斜体</w:t>
      </w:r>
      <w:r>
        <w:rPr>
          <w:rFonts w:hint="eastAsia"/>
          <w:szCs w:val="21"/>
        </w:rPr>
        <w:t>。单位、词头用正体，如nm,pF等。运算符用正体，如d,exp,lg,max,min等；几个特殊常量用正体，如e,i</w:t>
      </w:r>
      <w:r>
        <w:rPr>
          <w:szCs w:val="21"/>
        </w:rPr>
        <w:t>,</w:t>
      </w:r>
      <w:r>
        <w:rPr>
          <w:rFonts w:hint="eastAsia"/>
          <w:szCs w:val="21"/>
        </w:rPr>
        <w:t>π等。</w:t>
      </w:r>
    </w:p>
    <w:p>
      <w:pPr>
        <w:ind w:firstLine="359" w:firstLineChars="171"/>
        <w:rPr>
          <w:szCs w:val="21"/>
        </w:rPr>
      </w:pPr>
      <w:r>
        <w:rPr>
          <w:rFonts w:hint="eastAsia"/>
          <w:szCs w:val="21"/>
        </w:rPr>
        <w:t>黑体：矩阵及向量用黑体表示。</w:t>
      </w:r>
    </w:p>
    <w:p>
      <w:pPr>
        <w:ind w:firstLine="359" w:firstLineChars="171"/>
        <w:rPr>
          <w:szCs w:val="21"/>
        </w:rPr>
      </w:pPr>
    </w:p>
    <w:p>
      <w:pPr>
        <w:ind w:firstLine="413" w:firstLineChars="196"/>
        <w:rPr>
          <w:b/>
          <w:bCs/>
          <w:szCs w:val="21"/>
        </w:rPr>
      </w:pPr>
      <w:r>
        <w:rPr>
          <w:rFonts w:hint="eastAsia"/>
          <w:b/>
          <w:bCs/>
          <w:szCs w:val="21"/>
        </w:rPr>
        <w:t>图形</w:t>
      </w:r>
    </w:p>
    <w:p>
      <w:pPr>
        <w:ind w:firstLine="359" w:firstLineChars="171"/>
        <w:rPr>
          <w:szCs w:val="21"/>
        </w:rPr>
      </w:pPr>
      <w:r>
        <w:rPr>
          <w:rFonts w:hint="eastAsia"/>
          <w:szCs w:val="21"/>
        </w:rPr>
        <w:t>线条粗细：轮廓线、曲线等图中的主要部分用0.75磅，尺寸线、指引线等辅助部分用0.5磅。</w:t>
      </w:r>
    </w:p>
    <w:p>
      <w:pPr>
        <w:ind w:firstLine="359" w:firstLineChars="171"/>
        <w:rPr>
          <w:szCs w:val="21"/>
        </w:rPr>
      </w:pPr>
      <w:r>
        <w:rPr>
          <w:rFonts w:hint="eastAsia"/>
          <w:szCs w:val="21"/>
        </w:rPr>
        <w:t>字体：汉字用小五宋体；数字/英文用Time New Roman，罗马字用Symbol。字号：小五号。</w:t>
      </w:r>
    </w:p>
    <w:p>
      <w:pPr>
        <w:ind w:firstLine="359" w:firstLineChars="171"/>
        <w:rPr>
          <w:szCs w:val="21"/>
        </w:rPr>
      </w:pPr>
      <w:r>
        <w:rPr>
          <w:rFonts w:hint="eastAsia"/>
          <w:szCs w:val="21"/>
        </w:rPr>
        <w:t>如下图所示：</w:t>
      </w:r>
    </w:p>
    <w:p>
      <w:pPr>
        <w:ind w:firstLine="359" w:firstLineChars="171"/>
        <w:rPr>
          <w:szCs w:val="21"/>
        </w:rPr>
      </w:pPr>
      <w:r>
        <w:rPr>
          <w:szCs w:val="21"/>
        </w:rPr>
        <w:pict>
          <v:shape id="_x0000_s1026" o:spid="_x0000_s1026" o:spt="202" type="#_x0000_t202" style="position:absolute;left:0pt;margin-left:110.25pt;margin-top:4.8pt;height:39pt;width:204.75pt;z-index:251660288;mso-width-relative:page;mso-height-relative:page;" coordsize="21600,21600">
            <v:path/>
            <v:fill focussize="0,0"/>
            <v:stroke joinstyle="miter"/>
            <v:imagedata o:title=""/>
            <o:lock v:ext="edit"/>
            <v:textbox>
              <w:txbxContent>
                <w:p>
                  <w:pPr>
                    <w:rPr>
                      <w:sz w:val="18"/>
                    </w:rPr>
                  </w:pPr>
                  <w:r>
                    <w:rPr>
                      <w:rFonts w:hint="eastAsia"/>
                      <w:sz w:val="18"/>
                    </w:rPr>
                    <w:t>用单栏排时图形宽度必须小于7cm，用通栏排时宽度必须小于14cm，，高度可适当调整。</w:t>
                  </w:r>
                </w:p>
              </w:txbxContent>
            </v:textbox>
          </v:shape>
        </w:pict>
      </w:r>
    </w:p>
    <w:p>
      <w:pPr>
        <w:ind w:firstLine="359" w:firstLineChars="171"/>
        <w:rPr>
          <w:szCs w:val="21"/>
        </w:rPr>
      </w:pPr>
    </w:p>
    <w:p>
      <w:pPr>
        <w:ind w:firstLine="359" w:firstLineChars="171"/>
        <w:rPr>
          <w:szCs w:val="21"/>
        </w:rPr>
      </w:pPr>
    </w:p>
    <w:p>
      <w:pPr>
        <w:ind w:firstLine="359" w:firstLineChars="171"/>
        <w:rPr>
          <w:szCs w:val="21"/>
        </w:rPr>
      </w:pPr>
    </w:p>
    <w:p>
      <w:pPr>
        <w:ind w:firstLine="359" w:firstLineChars="171"/>
        <w:rPr>
          <w:sz w:val="18"/>
          <w:szCs w:val="21"/>
        </w:rPr>
      </w:pPr>
      <w:r>
        <w:rPr>
          <w:rFonts w:hint="eastAsia"/>
          <w:szCs w:val="21"/>
        </w:rPr>
        <w:t xml:space="preserve">                　　　　　</w:t>
      </w:r>
      <w:r>
        <w:rPr>
          <w:rFonts w:hint="eastAsia"/>
          <w:sz w:val="18"/>
          <w:szCs w:val="21"/>
        </w:rPr>
        <w:t xml:space="preserve"> 图1    图名（小五宋）</w:t>
      </w:r>
    </w:p>
    <w:p>
      <w:pPr>
        <w:ind w:firstLine="359" w:firstLineChars="171"/>
        <w:rPr>
          <w:szCs w:val="21"/>
        </w:rPr>
      </w:pPr>
    </w:p>
    <w:p>
      <w:pPr>
        <w:ind w:firstLine="310" w:firstLineChars="147"/>
        <w:rPr>
          <w:b/>
          <w:bCs/>
          <w:szCs w:val="21"/>
        </w:rPr>
      </w:pPr>
      <w:r>
        <w:rPr>
          <w:rFonts w:hint="eastAsia"/>
          <w:b/>
          <w:bCs/>
          <w:szCs w:val="21"/>
        </w:rPr>
        <w:t>表格</w:t>
      </w:r>
    </w:p>
    <w:p>
      <w:pPr>
        <w:ind w:firstLine="359" w:firstLineChars="171"/>
        <w:rPr>
          <w:szCs w:val="21"/>
        </w:rPr>
      </w:pPr>
      <w:r>
        <w:rPr>
          <w:rFonts w:hint="eastAsia"/>
          <w:szCs w:val="21"/>
        </w:rPr>
        <w:t>表格采用三线表，表头中使用量符号/单位，量符号用斜体，单位用正体，表标题为小五黑。如下表所示：</w:t>
      </w:r>
    </w:p>
    <w:p>
      <w:pPr>
        <w:ind w:firstLine="361" w:firstLineChars="171"/>
        <w:jc w:val="center"/>
        <w:rPr>
          <w:rFonts w:ascii="黑体" w:eastAsia="黑体"/>
          <w:b/>
          <w:bCs/>
          <w:szCs w:val="21"/>
        </w:rPr>
      </w:pPr>
      <w:r>
        <w:rPr>
          <w:rFonts w:hint="eastAsia" w:ascii="黑体" w:eastAsia="黑体"/>
          <w:b/>
          <w:bCs/>
          <w:szCs w:val="21"/>
        </w:rPr>
        <w:t>表1  实验结果</w:t>
      </w:r>
    </w:p>
    <w:tbl>
      <w:tblPr>
        <w:tblStyle w:val="9"/>
        <w:tblW w:w="7005" w:type="dxa"/>
        <w:tblInd w:w="1008"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25"/>
        <w:gridCol w:w="1440"/>
        <w:gridCol w:w="1440"/>
        <w:gridCol w:w="178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5" w:type="dxa"/>
            <w:tcBorders>
              <w:right w:val="single" w:color="FFFFFF" w:sz="4" w:space="0"/>
            </w:tcBorders>
          </w:tcPr>
          <w:p>
            <w:pPr>
              <w:jc w:val="center"/>
              <w:rPr>
                <w:szCs w:val="21"/>
              </w:rPr>
            </w:pPr>
            <w:r>
              <w:rPr>
                <w:rFonts w:hint="eastAsia"/>
                <w:i/>
                <w:szCs w:val="21"/>
              </w:rPr>
              <w:t>x</w:t>
            </w:r>
            <w:r>
              <w:rPr>
                <w:rFonts w:hint="eastAsia"/>
                <w:szCs w:val="21"/>
              </w:rPr>
              <w:t>/cm</w:t>
            </w:r>
          </w:p>
        </w:tc>
        <w:tc>
          <w:tcPr>
            <w:tcW w:w="1425" w:type="dxa"/>
            <w:tcBorders>
              <w:left w:val="single" w:color="FFFFFF" w:sz="4" w:space="0"/>
              <w:right w:val="single" w:color="FFFFFF" w:sz="4" w:space="0"/>
            </w:tcBorders>
          </w:tcPr>
          <w:p>
            <w:pPr>
              <w:jc w:val="center"/>
              <w:rPr>
                <w:szCs w:val="21"/>
              </w:rPr>
            </w:pPr>
            <w:r>
              <w:rPr>
                <w:rFonts w:hint="eastAsia"/>
                <w:i/>
                <w:szCs w:val="21"/>
              </w:rPr>
              <w:t>I</w:t>
            </w:r>
            <w:r>
              <w:rPr>
                <w:rFonts w:hint="eastAsia"/>
                <w:szCs w:val="21"/>
              </w:rPr>
              <w:t>/mA</w:t>
            </w:r>
          </w:p>
        </w:tc>
        <w:tc>
          <w:tcPr>
            <w:tcW w:w="1440" w:type="dxa"/>
            <w:tcBorders>
              <w:left w:val="single" w:color="FFFFFF" w:sz="4" w:space="0"/>
              <w:right w:val="single" w:color="FFFFFF" w:sz="4" w:space="0"/>
            </w:tcBorders>
          </w:tcPr>
          <w:p>
            <w:pPr>
              <w:jc w:val="center"/>
              <w:rPr>
                <w:szCs w:val="21"/>
              </w:rPr>
            </w:pPr>
            <w:r>
              <w:rPr>
                <w:rFonts w:hint="eastAsia"/>
                <w:i/>
                <w:szCs w:val="21"/>
              </w:rPr>
              <w:t>v</w:t>
            </w:r>
            <w:r>
              <w:rPr>
                <w:rFonts w:hint="eastAsia"/>
                <w:szCs w:val="21"/>
              </w:rPr>
              <w:t>/(m·s</w:t>
            </w:r>
            <w:r>
              <w:rPr>
                <w:rFonts w:hint="eastAsia"/>
                <w:szCs w:val="21"/>
                <w:vertAlign w:val="superscript"/>
              </w:rPr>
              <w:t>-1</w:t>
            </w:r>
            <w:r>
              <w:rPr>
                <w:rFonts w:hint="eastAsia"/>
                <w:szCs w:val="21"/>
              </w:rPr>
              <w:t>)</w:t>
            </w:r>
          </w:p>
        </w:tc>
        <w:tc>
          <w:tcPr>
            <w:tcW w:w="1440" w:type="dxa"/>
            <w:tcBorders>
              <w:left w:val="single" w:color="FFFFFF" w:sz="4" w:space="0"/>
              <w:right w:val="single" w:color="FFFFFF" w:sz="4" w:space="0"/>
            </w:tcBorders>
          </w:tcPr>
          <w:p>
            <w:pPr>
              <w:jc w:val="center"/>
              <w:rPr>
                <w:szCs w:val="21"/>
              </w:rPr>
            </w:pPr>
            <w:r>
              <w:rPr>
                <w:rFonts w:hint="eastAsia"/>
                <w:i/>
                <w:szCs w:val="21"/>
              </w:rPr>
              <w:t>h</w:t>
            </w:r>
            <w:r>
              <w:rPr>
                <w:rFonts w:hint="eastAsia"/>
                <w:szCs w:val="21"/>
              </w:rPr>
              <w:t>/m</w:t>
            </w:r>
          </w:p>
        </w:tc>
        <w:tc>
          <w:tcPr>
            <w:tcW w:w="1785" w:type="dxa"/>
            <w:tcBorders>
              <w:left w:val="single" w:color="FFFFFF" w:sz="4" w:space="0"/>
            </w:tcBorders>
          </w:tcPr>
          <w:p>
            <w:pPr>
              <w:jc w:val="center"/>
              <w:rPr>
                <w:szCs w:val="21"/>
              </w:rPr>
            </w:pPr>
            <w:r>
              <w:rPr>
                <w:rFonts w:hint="eastAsia"/>
                <w:i/>
                <w:szCs w:val="21"/>
              </w:rPr>
              <w:t>p</w:t>
            </w:r>
            <w:r>
              <w:rPr>
                <w:rFonts w:hint="eastAsia"/>
                <w:szCs w:val="21"/>
              </w:rPr>
              <w:t>/MPa</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5" w:type="dxa"/>
            <w:tcBorders>
              <w:top w:val="single" w:color="FFFFFF" w:sz="4" w:space="0"/>
              <w:right w:val="single" w:color="FFFFFF" w:sz="4" w:space="0"/>
            </w:tcBorders>
          </w:tcPr>
          <w:p>
            <w:pPr>
              <w:jc w:val="center"/>
              <w:rPr>
                <w:szCs w:val="21"/>
              </w:rPr>
            </w:pPr>
            <w:r>
              <w:rPr>
                <w:rFonts w:hint="eastAsia"/>
                <w:szCs w:val="21"/>
              </w:rPr>
              <w:t>10</w:t>
            </w:r>
          </w:p>
          <w:p>
            <w:pPr>
              <w:jc w:val="center"/>
              <w:rPr>
                <w:szCs w:val="21"/>
              </w:rPr>
            </w:pPr>
            <w:r>
              <w:rPr>
                <w:rFonts w:hint="eastAsia"/>
                <w:szCs w:val="21"/>
              </w:rPr>
              <w:t>20</w:t>
            </w:r>
          </w:p>
        </w:tc>
        <w:tc>
          <w:tcPr>
            <w:tcW w:w="1425" w:type="dxa"/>
            <w:tcBorders>
              <w:top w:val="single" w:color="FFFFFF" w:sz="4" w:space="0"/>
              <w:left w:val="single" w:color="FFFFFF" w:sz="4" w:space="0"/>
              <w:right w:val="single" w:color="FFFFFF" w:sz="4" w:space="0"/>
            </w:tcBorders>
          </w:tcPr>
          <w:p>
            <w:pPr>
              <w:jc w:val="center"/>
              <w:rPr>
                <w:szCs w:val="21"/>
              </w:rPr>
            </w:pPr>
            <w:r>
              <w:rPr>
                <w:rFonts w:hint="eastAsia"/>
                <w:szCs w:val="21"/>
              </w:rPr>
              <w:t>30</w:t>
            </w:r>
          </w:p>
          <w:p>
            <w:pPr>
              <w:jc w:val="center"/>
              <w:rPr>
                <w:szCs w:val="21"/>
              </w:rPr>
            </w:pPr>
            <w:r>
              <w:rPr>
                <w:rFonts w:hint="eastAsia"/>
                <w:szCs w:val="21"/>
              </w:rPr>
              <w:t>25</w:t>
            </w:r>
          </w:p>
        </w:tc>
        <w:tc>
          <w:tcPr>
            <w:tcW w:w="1440" w:type="dxa"/>
            <w:tcBorders>
              <w:top w:val="single" w:color="FFFFFF" w:sz="4" w:space="0"/>
              <w:left w:val="single" w:color="FFFFFF" w:sz="4" w:space="0"/>
              <w:right w:val="single" w:color="FFFFFF" w:sz="4" w:space="0"/>
            </w:tcBorders>
          </w:tcPr>
          <w:p>
            <w:pPr>
              <w:jc w:val="center"/>
              <w:rPr>
                <w:szCs w:val="21"/>
              </w:rPr>
            </w:pPr>
            <w:r>
              <w:rPr>
                <w:rFonts w:hint="eastAsia"/>
                <w:szCs w:val="21"/>
              </w:rPr>
              <w:t>2.5</w:t>
            </w:r>
          </w:p>
          <w:p>
            <w:pPr>
              <w:jc w:val="center"/>
              <w:rPr>
                <w:szCs w:val="21"/>
              </w:rPr>
            </w:pPr>
            <w:r>
              <w:rPr>
                <w:rFonts w:hint="eastAsia"/>
                <w:szCs w:val="21"/>
              </w:rPr>
              <w:t>4.3</w:t>
            </w:r>
          </w:p>
        </w:tc>
        <w:tc>
          <w:tcPr>
            <w:tcW w:w="1440" w:type="dxa"/>
            <w:tcBorders>
              <w:top w:val="single" w:color="FFFFFF" w:sz="4" w:space="0"/>
              <w:left w:val="single" w:color="FFFFFF" w:sz="4" w:space="0"/>
              <w:right w:val="single" w:color="FFFFFF" w:sz="4" w:space="0"/>
            </w:tcBorders>
          </w:tcPr>
          <w:p>
            <w:pPr>
              <w:jc w:val="center"/>
              <w:rPr>
                <w:szCs w:val="21"/>
              </w:rPr>
            </w:pPr>
            <w:r>
              <w:rPr>
                <w:rFonts w:hint="eastAsia"/>
                <w:szCs w:val="21"/>
              </w:rPr>
              <w:t>4</w:t>
            </w:r>
          </w:p>
          <w:p>
            <w:pPr>
              <w:jc w:val="center"/>
              <w:rPr>
                <w:szCs w:val="21"/>
              </w:rPr>
            </w:pPr>
            <w:r>
              <w:rPr>
                <w:rFonts w:hint="eastAsia"/>
                <w:szCs w:val="21"/>
              </w:rPr>
              <w:t>3</w:t>
            </w:r>
          </w:p>
        </w:tc>
        <w:tc>
          <w:tcPr>
            <w:tcW w:w="1785" w:type="dxa"/>
            <w:tcBorders>
              <w:top w:val="single" w:color="FFFFFF" w:sz="4" w:space="0"/>
              <w:left w:val="single" w:color="FFFFFF" w:sz="4" w:space="0"/>
            </w:tcBorders>
          </w:tcPr>
          <w:p>
            <w:pPr>
              <w:jc w:val="center"/>
              <w:rPr>
                <w:szCs w:val="21"/>
              </w:rPr>
            </w:pPr>
            <w:r>
              <w:rPr>
                <w:rFonts w:hint="eastAsia"/>
                <w:szCs w:val="21"/>
              </w:rPr>
              <w:t>110</w:t>
            </w:r>
          </w:p>
          <w:p>
            <w:pPr>
              <w:jc w:val="center"/>
              <w:rPr>
                <w:szCs w:val="21"/>
              </w:rPr>
            </w:pPr>
            <w:r>
              <w:rPr>
                <w:rFonts w:hint="eastAsia"/>
                <w:szCs w:val="21"/>
              </w:rPr>
              <w:t>120</w:t>
            </w:r>
          </w:p>
        </w:tc>
      </w:tr>
    </w:tbl>
    <w:p>
      <w:pPr>
        <w:rPr>
          <w:szCs w:val="21"/>
        </w:rPr>
      </w:pPr>
    </w:p>
    <w:p>
      <w:pPr>
        <w:ind w:firstLine="211" w:firstLineChars="100"/>
        <w:rPr>
          <w:rFonts w:ascii="黑体" w:eastAsia="黑体"/>
          <w:b/>
        </w:rPr>
      </w:pPr>
      <w:r>
        <w:rPr>
          <w:rFonts w:hint="eastAsia" w:ascii="黑体" w:eastAsia="黑体"/>
          <w:b/>
        </w:rPr>
        <w:t xml:space="preserve">首页页下注： </w:t>
      </w:r>
    </w:p>
    <w:p>
      <w:pPr>
        <w:ind w:left="360"/>
      </w:pPr>
      <w:r>
        <w:rPr>
          <w:rFonts w:hint="eastAsia"/>
          <w:u w:val="single"/>
        </w:rPr>
        <w:t>　　　　　　　　　</w:t>
      </w:r>
    </w:p>
    <w:p>
      <w:pPr>
        <w:ind w:left="1263" w:leftChars="171" w:hanging="904" w:hangingChars="500"/>
        <w:rPr>
          <w:sz w:val="18"/>
        </w:rPr>
      </w:pPr>
      <w:r>
        <w:rPr>
          <w:rFonts w:hint="eastAsia" w:eastAsia="黑体"/>
          <w:b/>
          <w:bCs/>
          <w:sz w:val="18"/>
        </w:rPr>
        <w:t>作者简介</w:t>
      </w:r>
      <w:r>
        <w:rPr>
          <w:rFonts w:hint="eastAsia"/>
          <w:sz w:val="18"/>
        </w:rPr>
        <w:t>（小五黑）：张海天(1976-)，男，博士研究生；研究方向</w:t>
      </w:r>
      <w:r>
        <w:rPr>
          <w:sz w:val="18"/>
        </w:rPr>
        <w:t>……</w:t>
      </w:r>
      <w:r>
        <w:rPr>
          <w:rFonts w:hint="eastAsia"/>
          <w:sz w:val="18"/>
        </w:rPr>
        <w:t>..。</w:t>
      </w:r>
      <w:r>
        <w:rPr>
          <w:rFonts w:hint="eastAsia"/>
          <w:bCs/>
          <w:sz w:val="18"/>
        </w:rPr>
        <w:t>（小五宋）</w:t>
      </w:r>
    </w:p>
    <w:p>
      <w:pPr>
        <w:ind w:left="1263" w:leftChars="171" w:hanging="904" w:hangingChars="500"/>
        <w:rPr>
          <w:sz w:val="18"/>
        </w:rPr>
      </w:pPr>
      <w:r>
        <w:rPr>
          <w:rFonts w:hint="eastAsia"/>
          <w:b/>
          <w:bCs/>
          <w:sz w:val="18"/>
        </w:rPr>
        <w:t>E-mail:</w:t>
      </w:r>
      <w:r>
        <w:fldChar w:fldCharType="begin"/>
      </w:r>
      <w:r>
        <w:instrText xml:space="preserve"> HYPERLINK "mailto:Zang-Haitian@163.com" </w:instrText>
      </w:r>
      <w:r>
        <w:fldChar w:fldCharType="separate"/>
      </w:r>
      <w:r>
        <w:rPr>
          <w:rStyle w:val="13"/>
          <w:rFonts w:hint="eastAsia"/>
          <w:sz w:val="18"/>
        </w:rPr>
        <w:t>Zang-Haitian@163.com</w:t>
      </w:r>
      <w:r>
        <w:rPr>
          <w:rStyle w:val="13"/>
          <w:rFonts w:hint="eastAsia"/>
          <w:sz w:val="18"/>
        </w:rPr>
        <w:fldChar w:fldCharType="end"/>
      </w:r>
      <w:r>
        <w:rPr>
          <w:rFonts w:hint="eastAsia"/>
          <w:sz w:val="18"/>
        </w:rPr>
        <w:t xml:space="preserve"> （小五，Times New Roman）</w:t>
      </w:r>
    </w:p>
    <w:p>
      <w:pPr>
        <w:pStyle w:val="8"/>
        <w:rPr>
          <w:b/>
          <w:bCs/>
          <w:sz w:val="21"/>
        </w:rPr>
      </w:pPr>
      <w:r>
        <w:rPr>
          <w:rFonts w:hint="eastAsia" w:ascii="黑体" w:eastAsia="黑体"/>
          <w:b/>
          <w:bCs/>
          <w:sz w:val="21"/>
        </w:rPr>
        <w:t>参考文献格式及示例</w:t>
      </w:r>
      <w:r>
        <w:rPr>
          <w:rFonts w:hint="eastAsia"/>
          <w:b/>
          <w:bCs/>
          <w:sz w:val="21"/>
        </w:rPr>
        <w:t>（</w:t>
      </w:r>
      <w:r>
        <w:rPr>
          <w:rFonts w:hint="eastAsia" w:ascii="黑体" w:eastAsia="黑体"/>
          <w:b/>
          <w:bCs/>
          <w:sz w:val="21"/>
        </w:rPr>
        <w:t>小五黑</w:t>
      </w:r>
      <w:r>
        <w:rPr>
          <w:rFonts w:hint="eastAsia"/>
          <w:b/>
          <w:bCs/>
          <w:sz w:val="21"/>
        </w:rPr>
        <w:t>）</w:t>
      </w:r>
    </w:p>
    <w:p>
      <w:pPr>
        <w:pStyle w:val="8"/>
        <w:rPr>
          <w:rFonts w:ascii="黑体" w:eastAsia="黑体"/>
          <w:b/>
          <w:bCs/>
          <w:sz w:val="21"/>
        </w:rPr>
      </w:pPr>
      <w:r>
        <w:rPr>
          <w:rFonts w:hint="eastAsia"/>
          <w:sz w:val="21"/>
        </w:rPr>
        <w:t>内容：中文为小五宋，英文为小五Times New Roman</w:t>
      </w:r>
    </w:p>
    <w:p>
      <w:pPr>
        <w:pStyle w:val="2"/>
        <w:spacing w:afterLines="50"/>
        <w:rPr>
          <w:rFonts w:ascii="黑体" w:hAnsi="宋体" w:eastAsia="黑体"/>
          <w:b/>
          <w:bCs/>
        </w:rPr>
      </w:pPr>
      <w:r>
        <w:rPr>
          <w:rFonts w:hint="eastAsia" w:ascii="黑体" w:hAnsi="宋体" w:eastAsia="黑体"/>
          <w:b/>
          <w:bCs/>
        </w:rPr>
        <w:t>1  专著著录格式</w:t>
      </w:r>
    </w:p>
    <w:p>
      <w:pPr>
        <w:pStyle w:val="2"/>
      </w:pPr>
      <w:r>
        <w:rPr>
          <w:rFonts w:hint="eastAsia"/>
        </w:rPr>
        <w:t>［序号］作者.书名.版次(第一版不写).出版地：出版者，出版年.</w:t>
      </w:r>
    </w:p>
    <w:p>
      <w:pPr>
        <w:pStyle w:val="2"/>
        <w:rPr>
          <w:b/>
          <w:bCs/>
        </w:rPr>
      </w:pPr>
      <w:r>
        <w:rPr>
          <w:rFonts w:hint="eastAsia"/>
          <w:b/>
          <w:bCs/>
        </w:rPr>
        <w:t>例:</w:t>
      </w:r>
    </w:p>
    <w:p>
      <w:pPr>
        <w:pStyle w:val="2"/>
      </w:pPr>
      <w:r>
        <w:rPr>
          <w:rFonts w:hint="eastAsia"/>
        </w:rPr>
        <w:t>［1］孙家广，杨长青.计算机图形学.北京：清华大学出版社，1995.</w:t>
      </w:r>
    </w:p>
    <w:p>
      <w:pPr>
        <w:pStyle w:val="2"/>
      </w:pPr>
      <w:r>
        <w:rPr>
          <w:rFonts w:hint="eastAsia"/>
        </w:rPr>
        <w:t>［2］Skolink M I. Radar handbook. New York: McGraw-Hill, 1990.</w:t>
      </w:r>
    </w:p>
    <w:p>
      <w:pPr>
        <w:pStyle w:val="2"/>
        <w:spacing w:beforeLines="50" w:afterLines="50"/>
        <w:rPr>
          <w:rFonts w:hAnsi="宋体"/>
          <w:b/>
          <w:bCs/>
        </w:rPr>
      </w:pPr>
      <w:r>
        <w:rPr>
          <w:rFonts w:hint="eastAsia" w:hAnsi="宋体"/>
          <w:b/>
          <w:bCs/>
        </w:rPr>
        <w:t>2  期刊著录格式</w:t>
      </w:r>
    </w:p>
    <w:p>
      <w:pPr>
        <w:pStyle w:val="2"/>
      </w:pPr>
      <w:r>
        <w:rPr>
          <w:rFonts w:hint="eastAsia"/>
        </w:rPr>
        <w:t>［序号］作者.题名.刊名，年，卷（期）：起止页码</w:t>
      </w:r>
    </w:p>
    <w:p>
      <w:pPr>
        <w:pStyle w:val="2"/>
      </w:pPr>
      <w:r>
        <w:rPr>
          <w:rFonts w:hint="eastAsia"/>
          <w:b/>
          <w:bCs/>
        </w:rPr>
        <w:t>例:</w:t>
      </w:r>
    </w:p>
    <w:p>
      <w:pPr>
        <w:pStyle w:val="2"/>
        <w:rPr>
          <w:color w:val="333333"/>
          <w:szCs w:val="15"/>
        </w:rPr>
      </w:pPr>
      <w:r>
        <w:rPr>
          <w:rFonts w:hint="eastAsia"/>
        </w:rPr>
        <w:t>［</w:t>
      </w:r>
      <w:r>
        <w:rPr>
          <w:color w:val="333333"/>
          <w:szCs w:val="15"/>
        </w:rPr>
        <w:t>3</w:t>
      </w:r>
      <w:r>
        <w:rPr>
          <w:rFonts w:hint="eastAsia"/>
          <w:color w:val="333333"/>
          <w:szCs w:val="15"/>
        </w:rPr>
        <w:t>］杨得庆，隋允康，刘正兴等</w:t>
      </w:r>
      <w:r>
        <w:rPr>
          <w:color w:val="333333"/>
          <w:szCs w:val="15"/>
        </w:rPr>
        <w:t>.</w:t>
      </w:r>
      <w:r>
        <w:rPr>
          <w:rFonts w:hint="eastAsia"/>
          <w:color w:val="333333"/>
          <w:szCs w:val="15"/>
        </w:rPr>
        <w:t>应力和位移约束下连续体结构拓扑优化</w:t>
      </w:r>
      <w:r>
        <w:rPr>
          <w:color w:val="333333"/>
          <w:szCs w:val="15"/>
        </w:rPr>
        <w:t>.</w:t>
      </w:r>
      <w:r>
        <w:rPr>
          <w:rFonts w:hint="eastAsia"/>
          <w:color w:val="333333"/>
          <w:szCs w:val="15"/>
        </w:rPr>
        <w:t>应用数学和力学</w:t>
      </w:r>
      <w:r>
        <w:rPr>
          <w:color w:val="333333"/>
          <w:szCs w:val="15"/>
        </w:rPr>
        <w:t>，</w:t>
      </w:r>
      <w:r>
        <w:rPr>
          <w:rFonts w:hint="eastAsia"/>
          <w:color w:val="333333"/>
          <w:szCs w:val="15"/>
        </w:rPr>
        <w:t>2000,21（1）</w:t>
      </w:r>
      <w:r>
        <w:rPr>
          <w:color w:val="333333"/>
          <w:szCs w:val="15"/>
        </w:rPr>
        <w:t>：</w:t>
      </w:r>
      <w:r>
        <w:rPr>
          <w:rFonts w:hint="eastAsia"/>
          <w:color w:val="333333"/>
          <w:szCs w:val="15"/>
        </w:rPr>
        <w:t>17</w:t>
      </w:r>
      <w:r>
        <w:rPr>
          <w:color w:val="333333"/>
          <w:szCs w:val="15"/>
        </w:rPr>
        <w:t>～</w:t>
      </w:r>
      <w:r>
        <w:rPr>
          <w:rFonts w:hint="eastAsia"/>
          <w:color w:val="333333"/>
          <w:szCs w:val="15"/>
        </w:rPr>
        <w:t>2</w:t>
      </w:r>
      <w:r>
        <w:rPr>
          <w:color w:val="333333"/>
          <w:szCs w:val="15"/>
        </w:rPr>
        <w:t>4</w:t>
      </w:r>
      <w:r>
        <w:rPr>
          <w:color w:val="333333"/>
          <w:szCs w:val="15"/>
        </w:rPr>
        <w:br w:type="textWrapping"/>
      </w:r>
      <w:r>
        <w:rPr>
          <w:rFonts w:hint="eastAsia"/>
          <w:color w:val="333333"/>
          <w:szCs w:val="15"/>
        </w:rPr>
        <w:t>［</w:t>
      </w:r>
      <w:r>
        <w:rPr>
          <w:color w:val="333333"/>
          <w:szCs w:val="15"/>
        </w:rPr>
        <w:t>4</w:t>
      </w:r>
      <w:r>
        <w:rPr>
          <w:rFonts w:hint="eastAsia"/>
          <w:color w:val="333333"/>
          <w:szCs w:val="15"/>
        </w:rPr>
        <w:t>］Kucheiko S, Choi J W, Kim H J, et al</w:t>
      </w:r>
      <w:r>
        <w:rPr>
          <w:color w:val="333333"/>
          <w:szCs w:val="15"/>
        </w:rPr>
        <w:t>.</w:t>
      </w:r>
      <w:r>
        <w:rPr>
          <w:rFonts w:hint="eastAsia"/>
          <w:color w:val="333333"/>
          <w:szCs w:val="15"/>
        </w:rPr>
        <w:t>　Journal Am. Ceram. Soc., 1997, 80(11):</w:t>
      </w:r>
    </w:p>
    <w:p>
      <w:pPr>
        <w:pStyle w:val="2"/>
      </w:pPr>
      <w:r>
        <w:rPr>
          <w:rFonts w:hint="eastAsia"/>
          <w:color w:val="333333"/>
          <w:szCs w:val="15"/>
        </w:rPr>
        <w:t>2 937</w:t>
      </w:r>
      <w:r>
        <w:rPr>
          <w:color w:val="333333"/>
          <w:szCs w:val="15"/>
        </w:rPr>
        <w:t>～</w:t>
      </w:r>
      <w:r>
        <w:rPr>
          <w:rFonts w:hint="eastAsia"/>
          <w:color w:val="333333"/>
          <w:szCs w:val="15"/>
        </w:rPr>
        <w:t>2 940</w:t>
      </w:r>
      <w:r>
        <w:rPr>
          <w:color w:val="333333"/>
          <w:szCs w:val="15"/>
        </w:rPr>
        <w:t>.</w:t>
      </w:r>
    </w:p>
    <w:p>
      <w:pPr>
        <w:pStyle w:val="2"/>
        <w:spacing w:beforeLines="50" w:afterLines="50"/>
        <w:rPr>
          <w:b/>
          <w:bCs/>
        </w:rPr>
      </w:pPr>
      <w:r>
        <w:rPr>
          <w:rFonts w:hint="eastAsia"/>
          <w:b/>
          <w:bCs/>
        </w:rPr>
        <w:t>3</w:t>
      </w:r>
      <w:r>
        <w:rPr>
          <w:rFonts w:hint="eastAsia" w:hAnsi="宋体" w:cs="宋体"/>
          <w:b/>
          <w:bCs/>
        </w:rPr>
        <w:t>论文集著录格式</w:t>
      </w:r>
    </w:p>
    <w:p>
      <w:pPr>
        <w:pStyle w:val="2"/>
        <w:ind w:left="840" w:hanging="840" w:hangingChars="400"/>
      </w:pPr>
      <w:r>
        <w:rPr>
          <w:rFonts w:hint="eastAsia"/>
        </w:rPr>
        <w:t>［序号］作者.题名.见(英文用In)：主编.论文集名.会议地点，会议时间.出版地：出版者，出版年.起止页码</w:t>
      </w:r>
    </w:p>
    <w:p>
      <w:pPr>
        <w:pStyle w:val="2"/>
      </w:pPr>
      <w:r>
        <w:rPr>
          <w:rFonts w:hint="eastAsia"/>
          <w:b/>
          <w:bCs/>
        </w:rPr>
        <w:t>例:</w:t>
      </w:r>
    </w:p>
    <w:p>
      <w:pPr>
        <w:pStyle w:val="2"/>
        <w:ind w:left="630" w:hanging="630" w:hangingChars="300"/>
      </w:pPr>
      <w:r>
        <w:rPr>
          <w:rFonts w:hint="eastAsia"/>
        </w:rPr>
        <w:t>［5］张佐光，张晓宏，仲伟虹等.多相混杂纤维复合材料拉伸行为分析．见：张为民编.第九届全国复合材料学术会议论文集(下册)．北京,1996.北京：世界图书出版公司，1996.410～416</w:t>
      </w:r>
    </w:p>
    <w:p>
      <w:pPr>
        <w:pStyle w:val="2"/>
      </w:pPr>
      <w:r>
        <w:rPr>
          <w:rFonts w:hint="eastAsia"/>
        </w:rPr>
        <w:t>［6］Odoni A R. The flow management problem in air traffic control. In: Odoni A R, Szego G,eds. Flow Control of Congested Networks. Berlin, 1987. Berlin: Springer-Verlag,1987.269～298</w:t>
      </w:r>
    </w:p>
    <w:p>
      <w:pPr>
        <w:pStyle w:val="2"/>
        <w:spacing w:beforeLines="50" w:afterLines="50"/>
        <w:rPr>
          <w:b/>
          <w:bCs/>
        </w:rPr>
      </w:pPr>
      <w:r>
        <w:rPr>
          <w:rFonts w:hint="eastAsia"/>
          <w:b/>
          <w:bCs/>
        </w:rPr>
        <w:t>4  学位论文著录格式</w:t>
      </w:r>
    </w:p>
    <w:p>
      <w:pPr>
        <w:pStyle w:val="2"/>
      </w:pPr>
      <w:r>
        <w:rPr>
          <w:rFonts w:hint="eastAsia"/>
        </w:rPr>
        <w:t>［序号］作者.题名：［学位论文］.保存地点：保存单位，年</w:t>
      </w:r>
    </w:p>
    <w:p>
      <w:pPr>
        <w:pStyle w:val="2"/>
      </w:pPr>
      <w:r>
        <w:rPr>
          <w:rFonts w:hint="eastAsia"/>
          <w:b/>
          <w:bCs/>
        </w:rPr>
        <w:t>例:</w:t>
      </w:r>
    </w:p>
    <w:p>
      <w:pPr>
        <w:pStyle w:val="2"/>
        <w:ind w:left="420" w:hanging="420" w:hangingChars="200"/>
      </w:pPr>
      <w:r>
        <w:rPr>
          <w:rFonts w:hint="eastAsia"/>
        </w:rPr>
        <w:t>［7］金  宏.导航系统的精度及容错性能的研究：［博士学位论文］.北京：北京航空航天大学自动控制系，1998.</w:t>
      </w:r>
    </w:p>
    <w:p>
      <w:pPr>
        <w:pStyle w:val="2"/>
        <w:ind w:left="420" w:hanging="420" w:hangingChars="200"/>
      </w:pPr>
      <w:r>
        <w:rPr>
          <w:rFonts w:hint="eastAsia"/>
        </w:rPr>
        <w:t>［3］Paxson V. Measurements and analysis of end-to-end internet dynamics:[Ph. D. Thesis].Berkeley: Computer Science Division, University of California,1997.</w:t>
      </w:r>
    </w:p>
    <w:p>
      <w:pPr>
        <w:pStyle w:val="2"/>
        <w:spacing w:beforeLines="50" w:afterLines="50"/>
        <w:rPr>
          <w:b/>
          <w:bCs/>
        </w:rPr>
      </w:pPr>
      <w:r>
        <w:rPr>
          <w:rFonts w:hint="eastAsia"/>
          <w:b/>
          <w:bCs/>
        </w:rPr>
        <w:t>5  科技报告著录格式</w:t>
      </w:r>
    </w:p>
    <w:p>
      <w:pPr>
        <w:pStyle w:val="2"/>
      </w:pPr>
      <w:r>
        <w:rPr>
          <w:rFonts w:hint="eastAsia"/>
        </w:rPr>
        <w:t>［序号］作者.题名.报告题名及编号，出版年</w:t>
      </w:r>
    </w:p>
    <w:p>
      <w:pPr>
        <w:pStyle w:val="2"/>
      </w:pPr>
      <w:r>
        <w:rPr>
          <w:rFonts w:hint="eastAsia"/>
          <w:b/>
          <w:bCs/>
        </w:rPr>
        <w:t>例:</w:t>
      </w:r>
    </w:p>
    <w:p>
      <w:pPr>
        <w:pStyle w:val="2"/>
        <w:ind w:left="630" w:hanging="630" w:hangingChars="300"/>
      </w:pPr>
      <w:r>
        <w:rPr>
          <w:rFonts w:hint="eastAsia"/>
        </w:rPr>
        <w:t>［8］Kyungmoon Nho. Automatic landing system design using fuzzy logic.AIAA-98-4484, 1998</w:t>
      </w:r>
    </w:p>
    <w:p>
      <w:pPr>
        <w:ind w:left="1409" w:leftChars="171" w:hanging="1050" w:hangingChars="500"/>
      </w:pPr>
    </w:p>
    <w:p>
      <w:pPr>
        <w:ind w:left="1409" w:leftChars="171" w:hanging="1050" w:hangingChars="500"/>
        <w:rPr>
          <w:rFonts w:hint="eastAsia"/>
        </w:rPr>
      </w:pPr>
    </w:p>
    <w:p>
      <w:pPr>
        <w:ind w:left="1409" w:leftChars="171" w:hanging="1050" w:hangingChars="500"/>
      </w:pPr>
    </w:p>
    <w:bookmarkEnd w:id="0"/>
    <w:p>
      <w:pPr>
        <w:spacing w:line="400" w:lineRule="exact"/>
        <w:rPr>
          <w:rFonts w:ascii="黑体" w:hAnsi="黑体" w:eastAsia="黑体"/>
          <w:bCs/>
          <w:sz w:val="30"/>
          <w:szCs w:val="30"/>
        </w:rPr>
      </w:pPr>
      <w:bookmarkStart w:id="2" w:name="_Hlk40173949"/>
      <w:r>
        <w:rPr>
          <w:rFonts w:hint="eastAsia" w:ascii="黑体" w:hAnsi="黑体" w:eastAsia="黑体"/>
          <w:bCs/>
          <w:sz w:val="30"/>
          <w:szCs w:val="30"/>
        </w:rPr>
        <w:t>附件2：撰稿论文格式样稿</w:t>
      </w:r>
      <w:bookmarkEnd w:id="2"/>
    </w:p>
    <w:p>
      <w:pPr>
        <w:spacing w:line="400" w:lineRule="exact"/>
        <w:sectPr>
          <w:headerReference r:id="rId3" w:type="default"/>
          <w:footerReference r:id="rId4" w:type="default"/>
          <w:footerReference r:id="rId5" w:type="even"/>
          <w:pgSz w:w="11906" w:h="16838"/>
          <w:pgMar w:top="1418" w:right="1418" w:bottom="1134" w:left="1418" w:header="851" w:footer="992" w:gutter="0"/>
          <w:cols w:space="425" w:num="1"/>
          <w:docGrid w:type="lines" w:linePitch="312" w:charSpace="0"/>
        </w:sectPr>
      </w:pPr>
    </w:p>
    <w:p>
      <w:pPr>
        <w:tabs>
          <w:tab w:val="left" w:pos="1980"/>
        </w:tabs>
        <w:autoSpaceDE w:val="0"/>
        <w:autoSpaceDN w:val="0"/>
        <w:adjustRightInd w:val="0"/>
        <w:jc w:val="center"/>
        <w:outlineLvl w:val="0"/>
        <w:rPr>
          <w:rFonts w:ascii="黑体" w:eastAsia="黑体" w:cs="宋体"/>
          <w:sz w:val="44"/>
          <w:szCs w:val="44"/>
          <w:lang w:val="zh-CN"/>
        </w:rPr>
      </w:pPr>
      <w:bookmarkStart w:id="3" w:name="_Hlk40173722"/>
      <w:r>
        <w:rPr>
          <w:rFonts w:ascii="黑体" w:eastAsia="黑体" w:cs="宋体"/>
          <w:sz w:val="44"/>
          <w:szCs w:val="44"/>
        </w:rPr>
        <w:pict>
          <v:shape id="_x0000_s1044" o:spid="_x0000_s1044" o:spt="32" type="#_x0000_t32" style="position:absolute;left:0pt;margin-left:0pt;margin-top:-16.1pt;height:0.05pt;width:505.55pt;z-index:251667456;mso-width-relative:page;mso-height-relative:page;" o:connectortype="straight" filled="f" coordsize="21600,21600">
            <v:path arrowok="t"/>
            <v:fill on="f" focussize="0,0"/>
            <v:stroke/>
            <v:imagedata o:title=""/>
            <o:lock v:ext="edit"/>
          </v:shape>
        </w:pict>
      </w:r>
      <w:r>
        <w:rPr>
          <w:rFonts w:ascii="黑体" w:eastAsia="黑体" w:cs="宋体"/>
          <w:sz w:val="44"/>
          <w:szCs w:val="44"/>
        </w:rPr>
        <w:pict>
          <v:shape id="_x0000_s1043" o:spid="_x0000_s1043" o:spt="202" type="#_x0000_t202" style="position:absolute;left:0pt;margin-left:0pt;margin-top:-39.7pt;height:31.7pt;width:500.95pt;z-index:251666432;mso-width-relative:page;mso-height-relative:page;" stroked="t" coordsize="21600,21600">
            <v:path/>
            <v:fill focussize="0,0"/>
            <v:stroke weight="0.5pt" color="#FFFFFF" joinstyle="miter"/>
            <v:imagedata o:title=""/>
            <o:lock v:ext="edit"/>
            <v:textbox>
              <w:txbxContent>
                <w:p>
                  <w:pPr>
                    <w:rPr>
                      <w:rFonts w:hint="default" w:eastAsiaTheme="minorEastAsia"/>
                      <w:lang w:val="en-US" w:eastAsia="zh-CN"/>
                    </w:rPr>
                  </w:pPr>
                  <w:r>
                    <w:rPr>
                      <w:rFonts w:hint="eastAsia"/>
                    </w:rPr>
                    <w:t>20</w:t>
                  </w:r>
                  <w:r>
                    <w:t>2</w:t>
                  </w:r>
                  <w:r>
                    <w:rPr>
                      <w:rFonts w:hint="eastAsia"/>
                      <w:lang w:val="en-US" w:eastAsia="zh-CN"/>
                    </w:rPr>
                    <w:t>1</w:t>
                  </w:r>
                  <w:r>
                    <w:rPr>
                      <w:rFonts w:hint="eastAsia"/>
                    </w:rPr>
                    <w:t>年</w:t>
                  </w:r>
                  <w:r>
                    <w:rPr>
                      <w:rFonts w:hint="eastAsia"/>
                      <w:lang w:val="en-US" w:eastAsia="zh-CN"/>
                    </w:rPr>
                    <w:t xml:space="preserve">4 </w:t>
                  </w:r>
                  <w:r>
                    <w:rPr>
                      <w:rFonts w:hint="eastAsia"/>
                    </w:rPr>
                    <w:t xml:space="preserve">月  济南                                           </w:t>
                  </w:r>
                  <w:r>
                    <w:rPr>
                      <w:rFonts w:hint="eastAsia"/>
                      <w:lang w:val="en-US" w:eastAsia="zh-CN"/>
                    </w:rPr>
                    <w:t xml:space="preserve">        第二届世界内燃机大会</w:t>
                  </w:r>
                </w:p>
              </w:txbxContent>
            </v:textbox>
          </v:shape>
        </w:pict>
      </w:r>
      <w:r>
        <w:rPr>
          <w:rFonts w:hint="eastAsia" w:ascii="黑体" w:eastAsia="黑体" w:cs="宋体"/>
          <w:sz w:val="44"/>
          <w:szCs w:val="44"/>
          <w:lang w:val="zh-CN"/>
        </w:rPr>
        <w:t>天然气成分对发动机性能及排放影响的试验研究</w:t>
      </w:r>
    </w:p>
    <w:p>
      <w:pPr>
        <w:autoSpaceDE w:val="0"/>
        <w:autoSpaceDN w:val="0"/>
        <w:adjustRightInd w:val="0"/>
        <w:jc w:val="center"/>
        <w:rPr>
          <w:rFonts w:cs="宋体"/>
          <w:szCs w:val="21"/>
          <w:lang w:val="zh-CN"/>
        </w:rPr>
      </w:pPr>
    </w:p>
    <w:p>
      <w:pPr>
        <w:autoSpaceDE w:val="0"/>
        <w:autoSpaceDN w:val="0"/>
        <w:adjustRightInd w:val="0"/>
        <w:spacing w:afterLines="50"/>
        <w:jc w:val="center"/>
        <w:rPr>
          <w:rFonts w:ascii="仿宋_GB2312" w:eastAsia="仿宋_GB2312"/>
          <w:szCs w:val="21"/>
          <w:vertAlign w:val="superscript"/>
          <w:lang w:val="zh-CN"/>
        </w:rPr>
      </w:pPr>
      <w:r>
        <w:rPr>
          <w:rFonts w:hint="eastAsia" w:ascii="仿宋_GB2312" w:eastAsia="仿宋_GB2312" w:cs="宋体"/>
          <w:szCs w:val="21"/>
          <w:lang w:val="zh-CN"/>
        </w:rPr>
        <w:t>程伟</w:t>
      </w:r>
      <w:r>
        <w:rPr>
          <w:rFonts w:hint="eastAsia" w:cs="宋体"/>
          <w:szCs w:val="21"/>
          <w:vertAlign w:val="superscript"/>
          <w:lang w:val="zh-CN"/>
        </w:rPr>
        <w:t>1</w:t>
      </w:r>
      <w:r>
        <w:rPr>
          <w:rFonts w:hint="eastAsia" w:ascii="仿宋_GB2312" w:eastAsia="仿宋_GB2312" w:cs="宋体"/>
          <w:szCs w:val="21"/>
          <w:lang w:val="zh-CN"/>
        </w:rPr>
        <w:t xml:space="preserve"> ，黄荣华</w:t>
      </w:r>
      <w:r>
        <w:rPr>
          <w:rFonts w:hint="eastAsia" w:cs="宋体"/>
          <w:szCs w:val="21"/>
          <w:vertAlign w:val="superscript"/>
          <w:lang w:val="zh-CN"/>
        </w:rPr>
        <w:t>1</w:t>
      </w:r>
      <w:r>
        <w:rPr>
          <w:rFonts w:hint="eastAsia" w:ascii="仿宋_GB2312" w:eastAsia="仿宋_GB2312" w:cs="宋体"/>
          <w:szCs w:val="21"/>
          <w:lang w:val="zh-CN"/>
        </w:rPr>
        <w:t xml:space="preserve"> ，代称程</w:t>
      </w:r>
      <w:r>
        <w:rPr>
          <w:rFonts w:hint="eastAsia" w:cs="宋体"/>
          <w:szCs w:val="21"/>
          <w:vertAlign w:val="superscript"/>
          <w:lang w:val="zh-CN"/>
        </w:rPr>
        <w:t>2</w:t>
      </w:r>
      <w:r>
        <w:rPr>
          <w:rFonts w:hint="eastAsia" w:ascii="仿宋_GB2312" w:eastAsia="仿宋_GB2312" w:cs="宋体"/>
          <w:szCs w:val="21"/>
          <w:lang w:val="zh-CN"/>
        </w:rPr>
        <w:t xml:space="preserve"> ，顾善愚</w:t>
      </w:r>
      <w:r>
        <w:rPr>
          <w:rFonts w:hint="eastAsia" w:cs="宋体"/>
          <w:szCs w:val="21"/>
          <w:vertAlign w:val="superscript"/>
          <w:lang w:val="zh-CN"/>
        </w:rPr>
        <w:t>2</w:t>
      </w:r>
    </w:p>
    <w:p>
      <w:pPr>
        <w:numPr>
          <w:ilvl w:val="0"/>
          <w:numId w:val="1"/>
        </w:numPr>
        <w:autoSpaceDE w:val="0"/>
        <w:autoSpaceDN w:val="0"/>
        <w:adjustRightInd w:val="0"/>
        <w:jc w:val="center"/>
        <w:rPr>
          <w:rFonts w:cs="宋体"/>
          <w:szCs w:val="21"/>
          <w:lang w:val="zh-CN"/>
        </w:rPr>
      </w:pPr>
      <w:r>
        <w:rPr>
          <w:rFonts w:hint="eastAsia" w:ascii="楷体_GB2312" w:eastAsia="楷体_GB2312" w:cs="宋体"/>
          <w:szCs w:val="21"/>
          <w:lang w:val="zh-CN"/>
        </w:rPr>
        <w:t>华中科技大学能源与动力工程学院，</w:t>
      </w:r>
      <w:r>
        <w:rPr>
          <w:rFonts w:hint="eastAsia" w:ascii="楷体_GB2312" w:eastAsia="楷体_GB2312" w:cs="宋体"/>
          <w:szCs w:val="21"/>
        </w:rPr>
        <w:t>武汉 430074</w:t>
      </w:r>
    </w:p>
    <w:p>
      <w:pPr>
        <w:autoSpaceDE w:val="0"/>
        <w:autoSpaceDN w:val="0"/>
        <w:adjustRightInd w:val="0"/>
        <w:ind w:left="315" w:leftChars="150" w:firstLine="2310" w:firstLineChars="1100"/>
        <w:rPr>
          <w:rFonts w:cs="宋体"/>
          <w:szCs w:val="21"/>
          <w:lang w:val="zh-CN"/>
        </w:rPr>
      </w:pPr>
      <w:r>
        <w:rPr>
          <w:rFonts w:hint="eastAsia" w:ascii="楷体_GB2312" w:eastAsia="楷体_GB2312" w:cs="宋体"/>
          <w:szCs w:val="21"/>
          <w:lang w:val="zh-CN"/>
        </w:rPr>
        <w:t>2</w:t>
      </w:r>
      <w:r>
        <w:rPr>
          <w:rFonts w:ascii="楷体_GB2312" w:eastAsia="楷体_GB2312" w:cs="宋体"/>
          <w:szCs w:val="21"/>
        </w:rPr>
        <w:t>.</w:t>
      </w:r>
      <w:r>
        <w:rPr>
          <w:rFonts w:hint="eastAsia" w:ascii="楷体_GB2312" w:eastAsia="楷体_GB2312" w:cs="宋体"/>
          <w:szCs w:val="21"/>
          <w:lang w:val="zh-CN"/>
        </w:rPr>
        <w:t>东风汽车有限公司商用车研发中心,湖北十堰 442001</w:t>
      </w:r>
      <w:r>
        <w:rPr>
          <w:rFonts w:hint="eastAsia" w:cs="宋体"/>
          <w:szCs w:val="21"/>
          <w:lang w:val="zh-CN"/>
        </w:rPr>
        <w:t xml:space="preserve"> ）</w:t>
      </w:r>
    </w:p>
    <w:p>
      <w:pPr>
        <w:autoSpaceDE w:val="0"/>
        <w:autoSpaceDN w:val="0"/>
        <w:adjustRightInd w:val="0"/>
        <w:ind w:firstLine="420" w:firstLineChars="200"/>
        <w:rPr>
          <w:szCs w:val="21"/>
        </w:rPr>
      </w:pPr>
    </w:p>
    <w:p>
      <w:pPr>
        <w:tabs>
          <w:tab w:val="left" w:pos="720"/>
        </w:tabs>
        <w:autoSpaceDE w:val="0"/>
        <w:autoSpaceDN w:val="0"/>
        <w:adjustRightInd w:val="0"/>
        <w:ind w:left="329" w:leftChars="71" w:right="372" w:rightChars="177" w:hanging="180" w:hangingChars="100"/>
        <w:rPr>
          <w:rFonts w:ascii="仿宋_GB2312" w:eastAsia="仿宋_GB2312" w:cs="宋体"/>
          <w:sz w:val="18"/>
          <w:szCs w:val="21"/>
          <w:lang w:val="zh-CN"/>
        </w:rPr>
      </w:pPr>
      <w:r>
        <w:rPr>
          <w:rFonts w:hint="eastAsia" w:ascii="黑体" w:eastAsia="黑体" w:cs="黑体"/>
          <w:sz w:val="18"/>
          <w:lang w:val="zh-CN"/>
        </w:rPr>
        <w:t xml:space="preserve">摘要： </w:t>
      </w:r>
      <w:r>
        <w:rPr>
          <w:rFonts w:hint="eastAsia" w:cs="宋体"/>
          <w:sz w:val="18"/>
          <w:szCs w:val="21"/>
          <w:lang w:val="zh-CN"/>
        </w:rPr>
        <w:t>在同一台发动机上通过燃用属于同类别的两地天然气的对比试验，研究了天然气成分对发动机性能及排放的影响。结果表明：因天然气成分的差异导致发动机的空燃比发生变化，是造成发动机性能与排放产生较大变化的主要原因，而能控制发动机空燃比在较小范围变化的技术措施，都可以减少天然气成分对发动机性能及排放的影响。</w:t>
      </w:r>
    </w:p>
    <w:p>
      <w:pPr>
        <w:autoSpaceDE w:val="0"/>
        <w:autoSpaceDN w:val="0"/>
        <w:adjustRightInd w:val="0"/>
        <w:ind w:firstLine="360" w:firstLineChars="200"/>
        <w:rPr>
          <w:rFonts w:cs="宋体"/>
          <w:sz w:val="18"/>
          <w:szCs w:val="21"/>
          <w:lang w:val="zh-CN"/>
        </w:rPr>
      </w:pPr>
      <w:r>
        <w:rPr>
          <w:rFonts w:hint="eastAsia" w:ascii="黑体" w:eastAsia="黑体" w:cs="黑体"/>
          <w:sz w:val="18"/>
          <w:lang w:val="zh-CN"/>
        </w:rPr>
        <w:t>关键词：</w:t>
      </w:r>
      <w:r>
        <w:rPr>
          <w:rFonts w:hint="eastAsia" w:cs="黑体"/>
          <w:sz w:val="18"/>
          <w:lang w:val="zh-CN"/>
        </w:rPr>
        <w:t>发动机；</w:t>
      </w:r>
      <w:r>
        <w:rPr>
          <w:rFonts w:hint="eastAsia" w:cs="宋体"/>
          <w:sz w:val="18"/>
          <w:szCs w:val="21"/>
          <w:lang w:val="zh-CN"/>
        </w:rPr>
        <w:t>天然气成分；性能；排放</w:t>
      </w:r>
    </w:p>
    <w:p>
      <w:pPr>
        <w:autoSpaceDE w:val="0"/>
        <w:autoSpaceDN w:val="0"/>
        <w:adjustRightInd w:val="0"/>
        <w:ind w:right="565" w:rightChars="269" w:firstLine="420" w:firstLineChars="200"/>
        <w:rPr>
          <w:rFonts w:ascii="黑体" w:eastAsia="黑体" w:cs="黑体"/>
          <w:szCs w:val="21"/>
        </w:rPr>
      </w:pPr>
    </w:p>
    <w:p>
      <w:pPr>
        <w:tabs>
          <w:tab w:val="left" w:pos="8804"/>
        </w:tabs>
        <w:autoSpaceDE w:val="0"/>
        <w:autoSpaceDN w:val="0"/>
        <w:adjustRightInd w:val="0"/>
        <w:rPr>
          <w:rFonts w:cs="宋体"/>
          <w:lang w:val="zh-CN"/>
        </w:rPr>
        <w:sectPr>
          <w:footerReference r:id="rId6" w:type="even"/>
          <w:pgSz w:w="11906" w:h="16838"/>
          <w:pgMar w:top="1418" w:right="907" w:bottom="1418" w:left="907" w:header="851" w:footer="992" w:gutter="0"/>
          <w:cols w:space="425" w:num="1"/>
          <w:docGrid w:type="lines" w:linePitch="312" w:charSpace="0"/>
        </w:sectPr>
      </w:pPr>
    </w:p>
    <w:p>
      <w:pPr>
        <w:tabs>
          <w:tab w:val="left" w:pos="8804"/>
        </w:tabs>
        <w:autoSpaceDE w:val="0"/>
        <w:autoSpaceDN w:val="0"/>
        <w:adjustRightInd w:val="0"/>
        <w:ind w:firstLine="420" w:firstLineChars="200"/>
        <w:rPr>
          <w:rFonts w:cs="宋体"/>
          <w:lang w:val="zh-CN"/>
        </w:rPr>
      </w:pPr>
      <w:r>
        <w:rPr>
          <w:rFonts w:hint="eastAsia" w:cs="宋体"/>
          <w:lang w:val="zh-CN"/>
        </w:rPr>
        <w:t>天然气成分随产地不同而变化的特性，是天然气发动机开发过程中必须考虑的因素，因为天然气成分的变化，将会对发动机的燃烧过程、稀燃极限造成影响，使得发动机的性能及排放发生变化</w:t>
      </w:r>
      <w:r>
        <w:rPr>
          <w:rFonts w:hint="eastAsia" w:cs="宋体"/>
          <w:vertAlign w:val="superscript"/>
          <w:lang w:val="zh-CN"/>
        </w:rPr>
        <w:t>[1，2]</w:t>
      </w:r>
      <w:r>
        <w:rPr>
          <w:rFonts w:hint="eastAsia" w:cs="宋体"/>
          <w:lang w:val="zh-CN"/>
        </w:rPr>
        <w:t>，这一点国内外已有相关研究。本文主要通过对两个不同产地天然气进行发动机性能及排放对比试验结果的分析，论述了天然气成分</w:t>
      </w:r>
      <w:r>
        <w:rPr>
          <w:rFonts w:hint="eastAsia" w:cs="宋体"/>
        </w:rPr>
        <w:t>对</w:t>
      </w:r>
      <w:r>
        <w:rPr>
          <w:rFonts w:hint="eastAsia" w:cs="宋体"/>
          <w:lang w:val="zh-CN"/>
        </w:rPr>
        <w:t>天然气发动机性能及排放影响的主要原因，并提出了解决这一问题的主要技术方案。</w:t>
      </w:r>
    </w:p>
    <w:p>
      <w:pPr>
        <w:tabs>
          <w:tab w:val="left" w:pos="8804"/>
        </w:tabs>
        <w:autoSpaceDE w:val="0"/>
        <w:autoSpaceDN w:val="0"/>
        <w:adjustRightInd w:val="0"/>
        <w:rPr>
          <w:rFonts w:cs="宋体"/>
          <w:lang w:val="zh-CN"/>
        </w:rPr>
      </w:pPr>
    </w:p>
    <w:p>
      <w:pPr>
        <w:autoSpaceDE w:val="0"/>
        <w:autoSpaceDN w:val="0"/>
        <w:adjustRightInd w:val="0"/>
        <w:outlineLvl w:val="0"/>
        <w:rPr>
          <w:rFonts w:ascii="黑体" w:eastAsia="黑体" w:cs="宋体"/>
          <w:b/>
          <w:bCs/>
          <w:lang w:val="zh-CN"/>
        </w:rPr>
      </w:pPr>
      <w:r>
        <w:rPr>
          <w:rFonts w:hint="eastAsia" w:ascii="黑体" w:eastAsia="黑体" w:cs="宋体"/>
          <w:lang w:val="zh-CN"/>
        </w:rPr>
        <w:t>1  试验样机</w:t>
      </w:r>
    </w:p>
    <w:p>
      <w:pPr>
        <w:autoSpaceDE w:val="0"/>
        <w:autoSpaceDN w:val="0"/>
        <w:adjustRightInd w:val="0"/>
        <w:outlineLvl w:val="0"/>
        <w:rPr>
          <w:rFonts w:ascii="黑体" w:eastAsia="黑体" w:cs="宋体"/>
          <w:lang w:val="zh-CN"/>
        </w:rPr>
      </w:pPr>
    </w:p>
    <w:p>
      <w:pPr>
        <w:autoSpaceDE w:val="0"/>
        <w:autoSpaceDN w:val="0"/>
        <w:adjustRightInd w:val="0"/>
        <w:ind w:firstLine="420" w:firstLineChars="200"/>
      </w:pPr>
      <w:r>
        <w:rPr>
          <w:rFonts w:hint="eastAsia" w:cs="宋体"/>
          <w:lang w:val="zh-CN"/>
        </w:rPr>
        <w:t>用</w:t>
      </w:r>
      <w:r>
        <w:rPr>
          <w:rFonts w:hint="eastAsia"/>
        </w:rPr>
        <w:t>EQD180-10型柴油机为基础进行适应性改进，取消柴油供给系统，匹配适合CNG燃烧的燃烧系统，改进进、排气系统，增加CNG喷射系统和高能点火系统，改造成</w:t>
      </w:r>
      <w:r>
        <w:rPr>
          <w:rFonts w:hint="eastAsia" w:cs="宋体"/>
          <w:lang w:val="zh-CN"/>
        </w:rPr>
        <w:t>EQD180N-20型天然气发动机。该天然气发动机</w:t>
      </w:r>
      <w:r>
        <w:rPr>
          <w:rFonts w:hint="eastAsia"/>
        </w:rPr>
        <w:t>采用电子控制CNG喷射开环控制技术、电子控</w:t>
      </w:r>
    </w:p>
    <w:p>
      <w:pPr>
        <w:autoSpaceDE w:val="0"/>
        <w:autoSpaceDN w:val="0"/>
        <w:adjustRightInd w:val="0"/>
        <w:jc w:val="center"/>
        <w:rPr>
          <w:rFonts w:ascii="黑体" w:eastAsia="黑体"/>
          <w:szCs w:val="18"/>
          <w:lang w:val="zh-CN"/>
        </w:rPr>
      </w:pPr>
      <w:r>
        <w:rPr>
          <w:rFonts w:hint="eastAsia" w:ascii="黑体" w:eastAsia="黑体" w:cs="宋体"/>
          <w:szCs w:val="18"/>
          <w:lang w:val="zh-CN"/>
        </w:rPr>
        <w:t>表1   EQD180N-20发动机技术参数</w:t>
      </w:r>
    </w:p>
    <w:tbl>
      <w:tblPr>
        <w:tblStyle w:val="9"/>
        <w:tblW w:w="4574"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44"/>
        <w:gridCol w:w="283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44" w:type="dxa"/>
          </w:tcPr>
          <w:p>
            <w:pPr>
              <w:autoSpaceDE w:val="0"/>
              <w:autoSpaceDN w:val="0"/>
              <w:adjustRightInd w:val="0"/>
              <w:jc w:val="left"/>
              <w:rPr>
                <w:szCs w:val="21"/>
                <w:lang w:val="zh-CN"/>
              </w:rPr>
            </w:pPr>
            <w:r>
              <w:rPr>
                <w:rFonts w:hint="eastAsia"/>
                <w:szCs w:val="21"/>
                <w:lang w:val="zh-CN"/>
              </w:rPr>
              <w:t>型号</w:t>
            </w:r>
          </w:p>
        </w:tc>
        <w:tc>
          <w:tcPr>
            <w:tcW w:w="2830" w:type="dxa"/>
          </w:tcPr>
          <w:p>
            <w:pPr>
              <w:autoSpaceDE w:val="0"/>
              <w:autoSpaceDN w:val="0"/>
              <w:adjustRightInd w:val="0"/>
              <w:jc w:val="left"/>
              <w:rPr>
                <w:rFonts w:cs="宋体"/>
                <w:szCs w:val="21"/>
                <w:lang w:val="zh-CN"/>
              </w:rPr>
            </w:pPr>
            <w:r>
              <w:rPr>
                <w:rFonts w:hint="eastAsia" w:cs="宋体"/>
                <w:szCs w:val="21"/>
                <w:lang w:val="zh-CN"/>
              </w:rPr>
              <w:t>EQD180N-20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44" w:type="dxa"/>
          </w:tcPr>
          <w:p>
            <w:pPr>
              <w:autoSpaceDE w:val="0"/>
              <w:autoSpaceDN w:val="0"/>
              <w:adjustRightInd w:val="0"/>
              <w:jc w:val="left"/>
              <w:rPr>
                <w:szCs w:val="21"/>
                <w:lang w:val="zh-CN"/>
              </w:rPr>
            </w:pPr>
            <w:r>
              <w:rPr>
                <w:rFonts w:hint="eastAsia" w:cs="宋体"/>
                <w:szCs w:val="21"/>
                <w:lang w:val="zh-CN"/>
              </w:rPr>
              <w:t>型式</w:t>
            </w:r>
          </w:p>
        </w:tc>
        <w:tc>
          <w:tcPr>
            <w:tcW w:w="2830" w:type="dxa"/>
          </w:tcPr>
          <w:p>
            <w:pPr>
              <w:autoSpaceDE w:val="0"/>
              <w:autoSpaceDN w:val="0"/>
              <w:adjustRightInd w:val="0"/>
              <w:jc w:val="left"/>
              <w:rPr>
                <w:szCs w:val="21"/>
                <w:lang w:val="zh-CN"/>
              </w:rPr>
            </w:pPr>
            <w:r>
              <w:rPr>
                <w:rFonts w:hint="eastAsia" w:cs="宋体"/>
                <w:szCs w:val="21"/>
                <w:lang w:val="zh-CN"/>
              </w:rPr>
              <w:t>直列六缸、四冲程、水冷、增压、空对空中冷</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44" w:type="dxa"/>
          </w:tcPr>
          <w:p>
            <w:pPr>
              <w:autoSpaceDE w:val="0"/>
              <w:autoSpaceDN w:val="0"/>
              <w:adjustRightInd w:val="0"/>
              <w:jc w:val="left"/>
              <w:rPr>
                <w:szCs w:val="21"/>
                <w:lang w:val="zh-CN"/>
              </w:rPr>
            </w:pPr>
            <w:r>
              <w:rPr>
                <w:rFonts w:hint="eastAsia" w:cs="宋体"/>
                <w:szCs w:val="21"/>
                <w:lang w:val="zh-CN"/>
              </w:rPr>
              <w:t>缸径/冲程</w:t>
            </w:r>
          </w:p>
        </w:tc>
        <w:tc>
          <w:tcPr>
            <w:tcW w:w="2830" w:type="dxa"/>
          </w:tcPr>
          <w:p>
            <w:pPr>
              <w:autoSpaceDE w:val="0"/>
              <w:autoSpaceDN w:val="0"/>
              <w:adjustRightInd w:val="0"/>
              <w:jc w:val="left"/>
              <w:rPr>
                <w:szCs w:val="21"/>
                <w:lang w:val="zh-CN"/>
              </w:rPr>
            </w:pPr>
            <w:r>
              <w:rPr>
                <w:rFonts w:hint="eastAsia" w:cs="宋体"/>
                <w:szCs w:val="21"/>
                <w:lang w:val="zh-CN"/>
              </w:rPr>
              <w:t>105mm/120mm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44" w:type="dxa"/>
          </w:tcPr>
          <w:p>
            <w:pPr>
              <w:autoSpaceDE w:val="0"/>
              <w:autoSpaceDN w:val="0"/>
              <w:adjustRightInd w:val="0"/>
              <w:jc w:val="left"/>
              <w:rPr>
                <w:szCs w:val="21"/>
              </w:rPr>
            </w:pPr>
            <w:r>
              <w:rPr>
                <w:rFonts w:hint="eastAsia" w:cs="宋体"/>
                <w:szCs w:val="21"/>
                <w:lang w:val="zh-CN"/>
              </w:rPr>
              <w:t>排量</w:t>
            </w:r>
          </w:p>
        </w:tc>
        <w:tc>
          <w:tcPr>
            <w:tcW w:w="2830" w:type="dxa"/>
          </w:tcPr>
          <w:p>
            <w:pPr>
              <w:autoSpaceDE w:val="0"/>
              <w:autoSpaceDN w:val="0"/>
              <w:adjustRightInd w:val="0"/>
              <w:jc w:val="left"/>
              <w:rPr>
                <w:szCs w:val="21"/>
              </w:rPr>
            </w:pPr>
            <w:r>
              <w:rPr>
                <w:rFonts w:hint="eastAsia" w:cs="宋体"/>
                <w:szCs w:val="21"/>
              </w:rPr>
              <w:t>6.234L</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44" w:type="dxa"/>
          </w:tcPr>
          <w:p>
            <w:pPr>
              <w:autoSpaceDE w:val="0"/>
              <w:autoSpaceDN w:val="0"/>
              <w:adjustRightInd w:val="0"/>
              <w:jc w:val="left"/>
              <w:rPr>
                <w:rFonts w:cs="宋体"/>
                <w:szCs w:val="21"/>
                <w:lang w:val="zh-CN"/>
              </w:rPr>
            </w:pPr>
            <w:r>
              <w:rPr>
                <w:rFonts w:hint="eastAsia" w:cs="宋体"/>
                <w:szCs w:val="21"/>
                <w:lang w:val="zh-CN"/>
              </w:rPr>
              <w:t>压缩比</w:t>
            </w:r>
          </w:p>
        </w:tc>
        <w:tc>
          <w:tcPr>
            <w:tcW w:w="2830" w:type="dxa"/>
          </w:tcPr>
          <w:p>
            <w:pPr>
              <w:autoSpaceDE w:val="0"/>
              <w:autoSpaceDN w:val="0"/>
              <w:adjustRightInd w:val="0"/>
              <w:jc w:val="left"/>
              <w:rPr>
                <w:rFonts w:cs="宋体"/>
                <w:szCs w:val="21"/>
                <w:lang w:val="zh-CN"/>
              </w:rPr>
            </w:pPr>
            <w:r>
              <w:rPr>
                <w:rFonts w:hint="eastAsia" w:cs="宋体"/>
                <w:szCs w:val="21"/>
                <w:lang w:val="zh-CN"/>
              </w:rPr>
              <w:t>10:1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44" w:type="dxa"/>
          </w:tcPr>
          <w:p>
            <w:pPr>
              <w:autoSpaceDE w:val="0"/>
              <w:autoSpaceDN w:val="0"/>
              <w:adjustRightInd w:val="0"/>
              <w:jc w:val="left"/>
              <w:rPr>
                <w:szCs w:val="21"/>
                <w:lang w:val="zh-CN"/>
              </w:rPr>
            </w:pPr>
            <w:r>
              <w:rPr>
                <w:rFonts w:hint="eastAsia" w:cs="宋体"/>
                <w:szCs w:val="21"/>
                <w:lang w:val="zh-CN"/>
              </w:rPr>
              <w:t>着火顺序</w:t>
            </w:r>
          </w:p>
        </w:tc>
        <w:tc>
          <w:tcPr>
            <w:tcW w:w="2830" w:type="dxa"/>
          </w:tcPr>
          <w:p>
            <w:pPr>
              <w:autoSpaceDE w:val="0"/>
              <w:autoSpaceDN w:val="0"/>
              <w:adjustRightInd w:val="0"/>
              <w:jc w:val="left"/>
              <w:rPr>
                <w:szCs w:val="21"/>
                <w:lang w:val="zh-CN"/>
              </w:rPr>
            </w:pPr>
            <w:r>
              <w:rPr>
                <w:rFonts w:hint="eastAsia" w:cs="宋体"/>
                <w:szCs w:val="21"/>
                <w:lang w:val="zh-CN"/>
              </w:rPr>
              <w:t>1-5-3-6-2-4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44" w:type="dxa"/>
          </w:tcPr>
          <w:p>
            <w:pPr>
              <w:autoSpaceDE w:val="0"/>
              <w:autoSpaceDN w:val="0"/>
              <w:adjustRightInd w:val="0"/>
              <w:jc w:val="left"/>
              <w:rPr>
                <w:szCs w:val="21"/>
                <w:lang w:val="zh-CN"/>
              </w:rPr>
            </w:pPr>
            <w:r>
              <w:rPr>
                <w:rFonts w:hint="eastAsia" w:cs="宋体"/>
                <w:szCs w:val="21"/>
                <w:lang w:val="zh-CN"/>
              </w:rPr>
              <w:t>点火方式</w:t>
            </w:r>
          </w:p>
        </w:tc>
        <w:tc>
          <w:tcPr>
            <w:tcW w:w="2830" w:type="dxa"/>
          </w:tcPr>
          <w:p>
            <w:pPr>
              <w:autoSpaceDE w:val="0"/>
              <w:autoSpaceDN w:val="0"/>
              <w:adjustRightInd w:val="0"/>
              <w:jc w:val="left"/>
              <w:rPr>
                <w:szCs w:val="21"/>
                <w:lang w:val="zh-CN"/>
              </w:rPr>
            </w:pPr>
            <w:r>
              <w:rPr>
                <w:rFonts w:hint="eastAsia" w:cs="宋体"/>
                <w:szCs w:val="21"/>
                <w:lang w:val="zh-CN"/>
              </w:rPr>
              <w:t>无分电器，电控分组点火</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44" w:type="dxa"/>
          </w:tcPr>
          <w:p>
            <w:pPr>
              <w:autoSpaceDE w:val="0"/>
              <w:autoSpaceDN w:val="0"/>
              <w:adjustRightInd w:val="0"/>
              <w:jc w:val="left"/>
              <w:rPr>
                <w:szCs w:val="21"/>
                <w:lang w:val="zh-CN"/>
              </w:rPr>
            </w:pPr>
            <w:r>
              <w:rPr>
                <w:rFonts w:hint="eastAsia" w:cs="宋体"/>
                <w:szCs w:val="21"/>
                <w:lang w:val="zh-CN"/>
              </w:rPr>
              <w:t>燃烧方式</w:t>
            </w:r>
          </w:p>
        </w:tc>
        <w:tc>
          <w:tcPr>
            <w:tcW w:w="2830" w:type="dxa"/>
          </w:tcPr>
          <w:p>
            <w:pPr>
              <w:autoSpaceDE w:val="0"/>
              <w:autoSpaceDN w:val="0"/>
              <w:adjustRightInd w:val="0"/>
              <w:jc w:val="left"/>
              <w:rPr>
                <w:szCs w:val="21"/>
                <w:lang w:val="zh-CN"/>
              </w:rPr>
            </w:pPr>
            <w:r>
              <w:rPr>
                <w:rFonts w:hint="eastAsia" w:cs="宋体"/>
                <w:szCs w:val="21"/>
                <w:lang w:val="zh-CN"/>
              </w:rPr>
              <w:t>稀燃</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44" w:type="dxa"/>
          </w:tcPr>
          <w:p>
            <w:pPr>
              <w:autoSpaceDE w:val="0"/>
              <w:autoSpaceDN w:val="0"/>
              <w:adjustRightInd w:val="0"/>
              <w:jc w:val="left"/>
              <w:rPr>
                <w:szCs w:val="21"/>
                <w:lang w:val="zh-CN"/>
              </w:rPr>
            </w:pPr>
            <w:r>
              <w:rPr>
                <w:rFonts w:hint="eastAsia" w:cs="宋体"/>
                <w:szCs w:val="21"/>
                <w:lang w:val="zh-CN"/>
              </w:rPr>
              <w:t>燃气喷射控制方式</w:t>
            </w:r>
          </w:p>
        </w:tc>
        <w:tc>
          <w:tcPr>
            <w:tcW w:w="2830" w:type="dxa"/>
          </w:tcPr>
          <w:p>
            <w:pPr>
              <w:autoSpaceDE w:val="0"/>
              <w:autoSpaceDN w:val="0"/>
              <w:adjustRightInd w:val="0"/>
              <w:jc w:val="left"/>
              <w:rPr>
                <w:szCs w:val="21"/>
                <w:lang w:val="zh-CN"/>
              </w:rPr>
            </w:pPr>
            <w:r>
              <w:rPr>
                <w:rFonts w:hint="eastAsia" w:cs="宋体"/>
                <w:szCs w:val="21"/>
                <w:lang w:val="zh-CN"/>
              </w:rPr>
              <w:t>开环控制</w:t>
            </w:r>
          </w:p>
        </w:tc>
      </w:tr>
    </w:tbl>
    <w:p>
      <w:pPr>
        <w:autoSpaceDE w:val="0"/>
        <w:autoSpaceDN w:val="0"/>
        <w:adjustRightInd w:val="0"/>
      </w:pPr>
      <w:r>
        <w:rPr>
          <w:rFonts w:hint="eastAsia"/>
        </w:rPr>
        <w:t>制分组点火技术和稀薄燃烧技术，排放满足GB14762</w:t>
      </w:r>
    </w:p>
    <w:p>
      <w:pPr>
        <w:autoSpaceDE w:val="0"/>
        <w:autoSpaceDN w:val="0"/>
        <w:adjustRightInd w:val="0"/>
      </w:pPr>
      <w:r>
        <w:rPr>
          <w:rFonts w:ascii="黑体" w:eastAsia="黑体" w:cs="宋体"/>
        </w:rPr>
        <w:pict>
          <v:shape id="_x0000_s1027" o:spid="_x0000_s1027" o:spt="202" type="#_x0000_t202" style="position:absolute;left:0pt;flip:y;margin-left:0pt;margin-top:47.1pt;height:23.4pt;width:432pt;mso-wrap-distance-bottom:0pt;mso-wrap-distance-left:9pt;mso-wrap-distance-right:9pt;mso-wrap-distance-top:0pt;z-index:251661312;mso-width-relative:page;mso-height-relative:page;" filled="f" stroked="f" coordsize="21600,21600">
            <v:path/>
            <v:fill on="f" focussize="0,0"/>
            <v:stroke on="f" joinstyle="miter"/>
            <v:imagedata o:title=""/>
            <o:lock v:ext="edit"/>
            <v:textbox inset="0mm,0mm,0mm,0mm">
              <w:txbxContent>
                <w:p>
                  <w:pPr>
                    <w:spacing w:line="240" w:lineRule="exact"/>
                    <w:rPr>
                      <w:sz w:val="18"/>
                    </w:rPr>
                  </w:pPr>
                  <w:r>
                    <w:rPr>
                      <w:rFonts w:hint="eastAsia" w:eastAsia="黑体"/>
                      <w:sz w:val="18"/>
                    </w:rPr>
                    <w:t>作者简介</w:t>
                  </w:r>
                  <w:r>
                    <w:rPr>
                      <w:rFonts w:hint="eastAsia" w:eastAsia="黑体"/>
                      <w:b/>
                      <w:bCs/>
                      <w:sz w:val="18"/>
                    </w:rPr>
                    <w:t>：</w:t>
                  </w:r>
                  <w:r>
                    <w:rPr>
                      <w:rFonts w:hint="eastAsia"/>
                      <w:sz w:val="18"/>
                    </w:rPr>
                    <w:t>程伟（1967－），男，硕士研究生，研究方向：发动机燃烧与排放控制，天然气发动机性能等。</w:t>
                  </w:r>
                </w:p>
                <w:p>
                  <w:pPr>
                    <w:spacing w:line="240" w:lineRule="exact"/>
                    <w:rPr>
                      <w:sz w:val="18"/>
                    </w:rPr>
                  </w:pPr>
                  <w:r>
                    <w:rPr>
                      <w:rFonts w:hint="eastAsia"/>
                      <w:b/>
                      <w:bCs/>
                      <w:sz w:val="18"/>
                    </w:rPr>
                    <w:t>E-mail:</w:t>
                  </w:r>
                  <w:r>
                    <w:rPr>
                      <w:rFonts w:hint="eastAsia"/>
                      <w:sz w:val="18"/>
                    </w:rPr>
                    <w:t xml:space="preserve">  chengwei@163.com</w:t>
                  </w:r>
                </w:p>
              </w:txbxContent>
            </v:textbox>
            <w10:wrap type="square"/>
          </v:shape>
        </w:pict>
      </w:r>
      <w:r>
        <w:rPr>
          <w:rFonts w:hint="eastAsia"/>
        </w:rPr>
        <w:t>-2002第二阶段（相当于欧洲</w:t>
      </w:r>
      <w:r>
        <w:fldChar w:fldCharType="begin"/>
      </w:r>
      <w:r>
        <w:instrText xml:space="preserve"> = 2 \* ROMAN </w:instrText>
      </w:r>
      <w:r>
        <w:fldChar w:fldCharType="separate"/>
      </w:r>
      <w:r>
        <w:t>II</w:t>
      </w:r>
      <w:r>
        <w:fldChar w:fldCharType="end"/>
      </w:r>
      <w:r>
        <w:rPr>
          <w:rFonts w:hint="eastAsia"/>
        </w:rPr>
        <w:t>号）限值要求、动力</w:t>
      </w:r>
    </w:p>
    <w:p>
      <w:pPr>
        <w:autoSpaceDE w:val="0"/>
        <w:autoSpaceDN w:val="0"/>
        <w:adjustRightInd w:val="0"/>
        <w:rPr>
          <w:rFonts w:cs="宋体"/>
          <w:lang w:val="zh-CN"/>
        </w:rPr>
      </w:pPr>
      <w:r>
        <w:rPr>
          <w:rFonts w:hint="eastAsia"/>
        </w:rPr>
        <w:t>性满足大型公交车或中型货车使用要求，</w:t>
      </w:r>
      <w:r>
        <w:rPr>
          <w:rFonts w:hint="eastAsia" w:cs="宋体"/>
          <w:lang w:val="zh-CN"/>
        </w:rPr>
        <w:t>技术参数如表1所示。</w:t>
      </w:r>
    </w:p>
    <w:p>
      <w:pPr>
        <w:autoSpaceDE w:val="0"/>
        <w:autoSpaceDN w:val="0"/>
        <w:adjustRightInd w:val="0"/>
        <w:outlineLvl w:val="0"/>
        <w:rPr>
          <w:rFonts w:ascii="黑体" w:eastAsia="黑体" w:cs="宋体"/>
          <w:lang w:val="zh-CN"/>
        </w:rPr>
      </w:pPr>
      <w:r>
        <w:rPr>
          <w:rFonts w:hint="eastAsia" w:ascii="黑体" w:eastAsia="黑体" w:cs="宋体"/>
          <w:lang w:val="zh-CN"/>
        </w:rPr>
        <w:t>1.2  试验用气成分比较</w:t>
      </w:r>
    </w:p>
    <w:p>
      <w:pPr>
        <w:pStyle w:val="4"/>
        <w:spacing w:line="240" w:lineRule="auto"/>
        <w:rPr>
          <w:rFonts w:hAnsi="宋体"/>
        </w:rPr>
      </w:pPr>
      <w:r>
        <w:rPr>
          <w:rFonts w:hint="eastAsia"/>
        </w:rPr>
        <w:t>气体燃料热值的高低直接影响着天然气发动机的性能，另外乙烷、丙烷、丁烷等重烷烃及惰性气体（如氮和二氧化碳）成分含量的高低将会影响混合气的燃烧速度及稀燃极限，从而间接影响到发动机的性能。具体而言，丙烷等重烷烃的燃烧速度要比甲烷快，而天然气成分中惰性气体含量的增加，又会降低混合气的燃烧速度。因此，一台对天然气成分影响不能做适当修正的天然气发动机燃用上述天然气时发动机性能必将发生变化。</w:t>
      </w:r>
    </w:p>
    <w:p>
      <w:pPr>
        <w:autoSpaceDE w:val="0"/>
        <w:autoSpaceDN w:val="0"/>
        <w:adjustRightInd w:val="0"/>
        <w:ind w:firstLine="420" w:firstLineChars="200"/>
      </w:pPr>
      <w:r>
        <w:rPr>
          <w:rFonts w:hint="eastAsia"/>
        </w:rPr>
        <w:t>对处于给定宏观条件下的任何系统，它按某微观状态分布的几率都是在特定约束条件下实现的，许多宏观物理系统被视为在确定的控制体系内，由大量微态组成的一个整体，具有宏观统计平均物理量〈</w:t>
      </w:r>
      <w:r>
        <w:t>f</w:t>
      </w:r>
      <w:r>
        <w:rPr>
          <w:rFonts w:hint="eastAsia"/>
        </w:rPr>
        <w:t>〉，对于多约束系统，其约束形式为：</w:t>
      </w:r>
    </w:p>
    <w:p>
      <w:pPr>
        <w:ind w:firstLine="1470" w:firstLineChars="700"/>
      </w:pPr>
      <w:r>
        <w:rPr>
          <w:position w:val="-28"/>
        </w:rPr>
        <w:object>
          <v:shape id="_x0000_i1025" o:spt="75" type="#_x0000_t75" style="height:30pt;width:87.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t>(</w:t>
      </w:r>
      <w:r>
        <w:rPr>
          <w:rFonts w:hint="eastAsia"/>
        </w:rPr>
        <w:t>1</w:t>
      </w:r>
      <w:r>
        <w:t>)</w:t>
      </w:r>
    </w:p>
    <w:p>
      <w:pPr>
        <w:ind w:firstLine="630" w:firstLineChars="300"/>
      </w:pPr>
      <w:r>
        <w:rPr>
          <w:position w:val="-24"/>
        </w:rPr>
        <w:object>
          <v:shape id="_x0000_i1026" o:spt="75" type="#_x0000_t75" style="height:28.5pt;width:165.7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t>(</w:t>
      </w:r>
      <w:r>
        <w:rPr>
          <w:rFonts w:hint="eastAsia"/>
        </w:rPr>
        <w:t>2</w:t>
      </w:r>
      <w:r>
        <w:t>)</w:t>
      </w:r>
    </w:p>
    <w:p>
      <w:pPr>
        <w:autoSpaceDE w:val="0"/>
        <w:autoSpaceDN w:val="0"/>
        <w:adjustRightInd w:val="0"/>
      </w:pPr>
      <w:r>
        <w:rPr>
          <w:rFonts w:hint="eastAsia"/>
        </w:rPr>
        <w:t>其中</w:t>
      </w:r>
      <w:r>
        <w:rPr>
          <w:position w:val="-10"/>
        </w:rPr>
        <w:object>
          <v:shape id="_x0000_i1027" o:spt="75" type="#_x0000_t75" style="height:15.75pt;width:63.7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rPr>
        <w:t>。</w:t>
      </w:r>
      <w:r>
        <w:rPr>
          <w:position w:val="-14"/>
        </w:rPr>
        <w:object>
          <v:shape id="_x0000_i1028" o:spt="75" type="#_x0000_t75" style="height:18.75pt;width:20.2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rPr>
        <w:t>是系统微态的某种状态函数。</w:t>
      </w:r>
    </w:p>
    <w:p>
      <w:pPr>
        <w:autoSpaceDE w:val="0"/>
        <w:autoSpaceDN w:val="0"/>
        <w:adjustRightInd w:val="0"/>
      </w:pPr>
    </w:p>
    <w:p>
      <w:pPr>
        <w:autoSpaceDE w:val="0"/>
        <w:autoSpaceDN w:val="0"/>
        <w:adjustRightInd w:val="0"/>
        <w:outlineLvl w:val="0"/>
        <w:rPr>
          <w:rFonts w:ascii="黑体" w:eastAsia="黑体" w:cs="宋体"/>
          <w:lang w:val="zh-CN"/>
        </w:rPr>
      </w:pPr>
      <w:r>
        <w:rPr>
          <w:rFonts w:hint="eastAsia" w:ascii="黑体" w:eastAsia="黑体" w:cs="宋体"/>
        </w:rPr>
        <w:t>2</w:t>
      </w:r>
      <w:r>
        <w:rPr>
          <w:rFonts w:hint="eastAsia" w:ascii="黑体" w:eastAsia="黑体" w:cs="宋体"/>
          <w:lang w:val="zh-CN"/>
        </w:rPr>
        <w:t xml:space="preserve">  性能试验研究</w:t>
      </w:r>
    </w:p>
    <w:p>
      <w:pPr>
        <w:autoSpaceDE w:val="0"/>
        <w:autoSpaceDN w:val="0"/>
        <w:adjustRightInd w:val="0"/>
        <w:outlineLvl w:val="0"/>
        <w:rPr>
          <w:rFonts w:ascii="黑体" w:eastAsia="黑体" w:cs="宋体"/>
          <w:lang w:val="zh-CN"/>
        </w:rPr>
      </w:pPr>
    </w:p>
    <w:p>
      <w:pPr>
        <w:autoSpaceDE w:val="0"/>
        <w:autoSpaceDN w:val="0"/>
        <w:adjustRightInd w:val="0"/>
        <w:ind w:firstLine="420" w:firstLineChars="200"/>
        <w:outlineLvl w:val="0"/>
        <w:rPr>
          <w:rFonts w:ascii="黑体" w:eastAsia="黑体" w:cs="宋体"/>
          <w:lang w:val="zh-CN"/>
        </w:rPr>
      </w:pPr>
      <w:r>
        <w:rPr>
          <w:rFonts w:hint="eastAsia" w:cs="宋体"/>
          <w:lang w:val="zh-CN"/>
        </w:rPr>
        <w:t>在发动机不做任何调整的情况下，发动机燃用</w:t>
      </w:r>
      <w:r>
        <w:rPr>
          <w:rFonts w:hint="eastAsia" w:cs="宋体"/>
          <w:b/>
          <w:bCs/>
          <w:lang w:val="zh-CN"/>
        </w:rPr>
        <w:t>A</w:t>
      </w:r>
      <w:r>
        <w:rPr>
          <w:rFonts w:hint="eastAsia" w:cs="宋体"/>
          <w:lang w:val="zh-CN"/>
        </w:rPr>
        <w:t>地天然气时的性能明显优于</w:t>
      </w:r>
      <w:r>
        <w:rPr>
          <w:rFonts w:hint="eastAsia"/>
        </w:rPr>
        <w:t>燃用</w:t>
      </w:r>
      <w:r>
        <w:rPr>
          <w:rFonts w:hint="eastAsia"/>
          <w:b/>
          <w:bCs/>
        </w:rPr>
        <w:t>B</w:t>
      </w:r>
      <w:r>
        <w:rPr>
          <w:rFonts w:hint="eastAsia"/>
        </w:rPr>
        <w:t>地天然气，最大功率提高19%，最大扭矩提高6%，最低燃油消耗率下降5%，发动机的爆发压力及排温明显增大。造成如此大差异的主要原因是发动机的空燃比发生了较大的变化，发动机燃用</w:t>
      </w:r>
      <w:r>
        <w:rPr>
          <w:rFonts w:hint="eastAsia" w:cs="宋体"/>
          <w:lang w:val="zh-CN"/>
        </w:rPr>
        <w:t>A地天然气</w:t>
      </w:r>
      <w:r>
        <w:rPr>
          <w:rFonts w:hint="eastAsia"/>
        </w:rPr>
        <w:t>时，空燃比明显变小（在</w:t>
      </w:r>
    </w:p>
    <w:p>
      <w:pPr>
        <w:autoSpaceDE w:val="0"/>
        <w:autoSpaceDN w:val="0"/>
        <w:adjustRightInd w:val="0"/>
        <w:ind w:right="565" w:rightChars="269" w:firstLine="420" w:firstLineChars="200"/>
        <w:rPr>
          <w:rFonts w:ascii="黑体" w:eastAsia="黑体" w:cs="黑体"/>
          <w:szCs w:val="21"/>
        </w:rPr>
        <w:sectPr>
          <w:type w:val="continuous"/>
          <w:pgSz w:w="11906" w:h="16838"/>
          <w:pgMar w:top="1418" w:right="907" w:bottom="1418" w:left="907" w:header="851" w:footer="992" w:gutter="0"/>
          <w:cols w:space="425" w:num="2"/>
          <w:docGrid w:type="lines" w:linePitch="312" w:charSpace="0"/>
        </w:sectPr>
      </w:pPr>
    </w:p>
    <w:p>
      <w:pPr>
        <w:autoSpaceDE w:val="0"/>
        <w:autoSpaceDN w:val="0"/>
        <w:adjustRightInd w:val="0"/>
        <w:outlineLvl w:val="0"/>
        <w:rPr>
          <w:rFonts w:cs="黑体"/>
          <w:lang w:val="zh-CN"/>
        </w:rPr>
      </w:pPr>
      <w:r>
        <w:rPr>
          <w:rFonts w:ascii="黑体" w:eastAsia="黑体" w:cs="宋体"/>
        </w:rPr>
        <w:pict>
          <v:line id="_x0000_s1028" o:spid="_x0000_s1028" o:spt="20" style="position:absolute;left:0pt;margin-left:0.7pt;margin-top:13.15pt;height:0pt;width:171pt;z-index:251662336;mso-width-relative:page;mso-height-relative:page;" coordsize="21600,21600">
            <v:path arrowok="t"/>
            <v:fill focussize="0,0"/>
            <v:stroke/>
            <v:imagedata o:title=""/>
            <o:lock v:ext="edit"/>
          </v:line>
        </w:pict>
      </w:r>
      <w:r>
        <w:t>n=1000</w:t>
      </w:r>
      <w:r>
        <w:rPr>
          <w:rFonts w:hint="eastAsia"/>
        </w:rPr>
        <w:t>～2800</w:t>
      </w:r>
      <w:r>
        <w:t>r/min</w:t>
      </w:r>
      <w:r>
        <w:rPr>
          <w:rFonts w:hint="eastAsia"/>
        </w:rPr>
        <w:t>范围内，平均约小1</w:t>
      </w:r>
      <w:r>
        <w:t>.5</w:t>
      </w:r>
      <w:r>
        <w:rPr>
          <w:rFonts w:hint="eastAsia"/>
        </w:rPr>
        <w:t>），混合气变浓，因而功率提高，燃气消耗率下降。</w:t>
      </w:r>
      <w:r>
        <w:rPr>
          <w:rFonts w:hint="eastAsia" w:cs="黑体"/>
          <w:lang w:val="zh-CN"/>
        </w:rPr>
        <w:t>空燃比的变化</w:t>
      </w:r>
      <w:r>
        <w:pict>
          <v:shape id="_x0000_s1047" o:spid="_x0000_s1047" o:spt="32" type="#_x0000_t32" style="position:absolute;left:0pt;margin-left:2.9pt;margin-top:-2.5pt;height:0.05pt;width:503.5pt;z-index:251669504;mso-width-relative:page;mso-height-relative:page;" o:connectortype="straight" filled="f" coordsize="21600,21600">
            <v:path arrowok="t"/>
            <v:fill on="f" focussize="0,0"/>
            <v:stroke/>
            <v:imagedata o:title=""/>
            <o:lock v:ext="edit"/>
          </v:shape>
        </w:pict>
      </w:r>
      <w:r>
        <w:pict>
          <v:shape id="_x0000_s1046" o:spid="_x0000_s1046" o:spt="202" type="#_x0000_t202" style="position:absolute;left:0pt;margin-left:-3.6pt;margin-top:-27.15pt;height:24.9pt;width:507.3pt;z-index:251668480;mso-width-relative:page;mso-height-relative:page;" stroked="t" coordsize="21600,21600">
            <v:path/>
            <v:fill focussize="0,0"/>
            <v:stroke weight="0.5pt" color="#FFFFFF" joinstyle="miter"/>
            <v:imagedata o:title=""/>
            <o:lock v:ext="edit"/>
            <v:textbox>
              <w:txbxContent>
                <w:p>
                  <w:pPr>
                    <w:rPr>
                      <w:rFonts w:hint="default" w:eastAsiaTheme="minorEastAsia"/>
                      <w:lang w:val="en-US" w:eastAsia="zh-CN"/>
                    </w:rPr>
                  </w:pPr>
                  <w:r>
                    <w:rPr>
                      <w:rFonts w:hint="eastAsia"/>
                    </w:rPr>
                    <w:t>20</w:t>
                  </w:r>
                  <w:r>
                    <w:t>2</w:t>
                  </w:r>
                  <w:r>
                    <w:rPr>
                      <w:rFonts w:hint="eastAsia"/>
                      <w:lang w:val="en-US" w:eastAsia="zh-CN"/>
                    </w:rPr>
                    <w:t>1</w:t>
                  </w:r>
                  <w:r>
                    <w:rPr>
                      <w:rFonts w:hint="eastAsia"/>
                    </w:rPr>
                    <w:t>年</w:t>
                  </w:r>
                  <w:r>
                    <w:rPr>
                      <w:rFonts w:hint="eastAsia"/>
                      <w:lang w:val="en-US" w:eastAsia="zh-CN"/>
                    </w:rPr>
                    <w:t xml:space="preserve">4 </w:t>
                  </w:r>
                  <w:r>
                    <w:rPr>
                      <w:rFonts w:hint="eastAsia"/>
                    </w:rPr>
                    <w:t xml:space="preserve">月  济南         </w:t>
                  </w:r>
                  <w:r>
                    <w:rPr>
                      <w:rFonts w:hint="eastAsia"/>
                      <w:lang w:val="en-US" w:eastAsia="zh-CN"/>
                    </w:rPr>
                    <w:t xml:space="preserve"> </w:t>
                  </w:r>
                  <w:r>
                    <w:rPr>
                      <w:rFonts w:hint="eastAsia"/>
                    </w:rPr>
                    <w:t xml:space="preserve">                                  </w:t>
                  </w:r>
                  <w:r>
                    <w:rPr>
                      <w:rFonts w:hint="eastAsia"/>
                      <w:lang w:val="en-US" w:eastAsia="zh-CN"/>
                    </w:rPr>
                    <w:t xml:space="preserve">        第二届世界内燃机大会</w:t>
                  </w:r>
                </w:p>
                <w:p/>
              </w:txbxContent>
            </v:textbox>
          </v:shape>
        </w:pict>
      </w:r>
      <w:r>
        <w:rPr>
          <w:rFonts w:hint="eastAsia" w:cs="黑体"/>
          <w:lang w:val="zh-CN"/>
        </w:rPr>
        <w:t>必将造成发动机排放的变化，如图4、图5和图6所示，燃用</w:t>
      </w:r>
      <w:r>
        <w:rPr>
          <w:rFonts w:hint="eastAsia" w:cs="宋体"/>
          <w:lang w:val="zh-CN"/>
        </w:rPr>
        <w:t>A地天然气</w:t>
      </w:r>
      <w:r>
        <w:rPr>
          <w:rFonts w:hint="eastAsia" w:cs="黑体"/>
          <w:lang w:val="zh-CN"/>
        </w:rPr>
        <w:t>时随着混合气变浓，燃烧温度</w:t>
      </w:r>
    </w:p>
    <w:p>
      <w:pPr>
        <w:autoSpaceDE w:val="0"/>
        <w:autoSpaceDN w:val="0"/>
        <w:adjustRightInd w:val="0"/>
        <w:ind w:firstLine="420" w:firstLineChars="200"/>
        <w:rPr>
          <w:rFonts w:cs="黑体"/>
          <w:lang w:val="zh-CN"/>
        </w:rPr>
      </w:pPr>
      <w:r>
        <w:drawing>
          <wp:anchor distT="0" distB="0" distL="114300" distR="114300" simplePos="0" relativeHeight="251663360" behindDoc="0" locked="0" layoutInCell="1" allowOverlap="1">
            <wp:simplePos x="0" y="0"/>
            <wp:positionH relativeFrom="column">
              <wp:posOffset>-114300</wp:posOffset>
            </wp:positionH>
            <wp:positionV relativeFrom="paragraph">
              <wp:posOffset>90805</wp:posOffset>
            </wp:positionV>
            <wp:extent cx="2971800" cy="2047875"/>
            <wp:effectExtent l="0" t="0" r="0" b="0"/>
            <wp:wrapTopAndBottom/>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autoSpaceDE w:val="0"/>
        <w:autoSpaceDN w:val="0"/>
        <w:adjustRightInd w:val="0"/>
        <w:spacing w:afterLines="50"/>
        <w:jc w:val="center"/>
        <w:outlineLvl w:val="0"/>
        <w:rPr>
          <w:bCs/>
        </w:rPr>
      </w:pPr>
      <w:r>
        <w:rPr>
          <w:rFonts w:hint="eastAsia" w:cs="黑体"/>
          <w:bCs/>
          <w:szCs w:val="18"/>
          <w:lang w:val="zh-CN"/>
        </w:rPr>
        <w:t>图4  两种天然气氮氧化物排放变化情况</w:t>
      </w:r>
    </w:p>
    <w:p>
      <w:pPr>
        <w:autoSpaceDE w:val="0"/>
        <w:autoSpaceDN w:val="0"/>
        <w:adjustRightInd w:val="0"/>
      </w:pPr>
      <w:r>
        <w:rPr>
          <w:rFonts w:hint="eastAsia" w:cs="黑体"/>
          <w:lang w:val="zh-CN"/>
        </w:rPr>
        <w:t>升高，氮氧化物排放相对于燃用</w:t>
      </w:r>
      <w:r>
        <w:rPr>
          <w:rFonts w:hint="eastAsia"/>
        </w:rPr>
        <w:t>B地天然气</w:t>
      </w:r>
      <w:r>
        <w:rPr>
          <w:rFonts w:hint="eastAsia" w:cs="黑体"/>
          <w:lang w:val="zh-CN"/>
        </w:rPr>
        <w:t>明显增加，一氧化碳排放在发动机怠速工况时明显增加。</w:t>
      </w:r>
    </w:p>
    <w:p>
      <w:pPr>
        <w:autoSpaceDE w:val="0"/>
        <w:autoSpaceDN w:val="0"/>
        <w:adjustRightInd w:val="0"/>
        <w:rPr>
          <w:rFonts w:cs="宋体"/>
          <w:szCs w:val="21"/>
        </w:rPr>
      </w:pPr>
    </w:p>
    <w:p>
      <w:pPr>
        <w:autoSpaceDE w:val="0"/>
        <w:autoSpaceDN w:val="0"/>
        <w:adjustRightInd w:val="0"/>
        <w:outlineLvl w:val="0"/>
        <w:rPr>
          <w:rFonts w:ascii="黑体" w:eastAsia="黑体" w:cs="黑体"/>
          <w:b/>
          <w:bCs/>
          <w:lang w:val="zh-CN"/>
        </w:rPr>
      </w:pPr>
      <w:r>
        <w:rPr>
          <w:rFonts w:hint="eastAsia" w:ascii="黑体" w:eastAsia="黑体" w:cs="黑体"/>
          <w:b/>
          <w:bCs/>
          <w:lang w:val="zh-CN"/>
        </w:rPr>
        <w:t>5 结论</w:t>
      </w:r>
    </w:p>
    <w:p>
      <w:pPr>
        <w:autoSpaceDE w:val="0"/>
        <w:autoSpaceDN w:val="0"/>
        <w:adjustRightInd w:val="0"/>
        <w:outlineLvl w:val="0"/>
        <w:rPr>
          <w:rFonts w:ascii="黑体" w:eastAsia="黑体" w:cs="黑体"/>
          <w:b/>
          <w:bCs/>
          <w:lang w:val="zh-CN"/>
        </w:rPr>
      </w:pPr>
    </w:p>
    <w:p>
      <w:pPr>
        <w:autoSpaceDE w:val="0"/>
        <w:autoSpaceDN w:val="0"/>
        <w:adjustRightInd w:val="0"/>
        <w:ind w:firstLine="420" w:firstLineChars="200"/>
        <w:rPr>
          <w:rFonts w:cs="黑体"/>
          <w:lang w:val="zh-CN"/>
        </w:rPr>
      </w:pPr>
      <w:r>
        <w:rPr>
          <w:rFonts w:hint="eastAsia" w:cs="黑体"/>
          <w:lang w:val="zh-CN"/>
        </w:rPr>
        <w:t>天然气成分影响发动机性能及排放的主要原因是：发动机的空燃比随天然气成分的变化而发生了变化。欲减小天然气成分对发动机性能及排放的影</w:t>
      </w:r>
    </w:p>
    <w:p>
      <w:pPr>
        <w:autoSpaceDE w:val="0"/>
        <w:autoSpaceDN w:val="0"/>
        <w:adjustRightInd w:val="0"/>
      </w:pPr>
      <w:r>
        <w:rPr>
          <w:rFonts w:hint="eastAsia" w:cs="黑体"/>
          <w:lang w:val="zh-CN"/>
        </w:rPr>
        <w:t>响，主要应控制空燃比在一定范围。在天然气发动机采用开环控制燃气喷射而不采用闭环燃气喷射的情况下，建议进一步细分天然气类别。</w:t>
      </w:r>
      <w:r>
        <w:rPr>
          <w:rFonts w:hint="eastAsia"/>
        </w:rPr>
        <w:t>严格定义所开发的天然气发动机对燃气成分的要求，控制空燃比的变化范围，以减少车辆在实际使用时性能发生较大差异。</w:t>
      </w:r>
    </w:p>
    <w:p>
      <w:pPr>
        <w:autoSpaceDE w:val="0"/>
        <w:autoSpaceDN w:val="0"/>
        <w:adjustRightInd w:val="0"/>
        <w:ind w:firstLine="420" w:firstLineChars="200"/>
        <w:rPr>
          <w:rFonts w:cs="黑体"/>
          <w:lang w:val="zh-CN"/>
        </w:rPr>
      </w:pPr>
    </w:p>
    <w:p>
      <w:pPr>
        <w:autoSpaceDE w:val="0"/>
        <w:autoSpaceDN w:val="0"/>
        <w:adjustRightInd w:val="0"/>
        <w:jc w:val="center"/>
        <w:outlineLvl w:val="0"/>
        <w:rPr>
          <w:rFonts w:ascii="黑体" w:eastAsia="黑体" w:cs="黑体"/>
          <w:bCs/>
          <w:lang w:val="zh-CN"/>
        </w:rPr>
      </w:pPr>
      <w:r>
        <w:rPr>
          <w:rFonts w:hint="eastAsia" w:ascii="黑体" w:eastAsia="黑体" w:cs="黑体"/>
          <w:bCs/>
          <w:lang w:val="zh-CN"/>
        </w:rPr>
        <w:t>参   考   文   献</w:t>
      </w:r>
    </w:p>
    <w:p>
      <w:pPr>
        <w:autoSpaceDE w:val="0"/>
        <w:autoSpaceDN w:val="0"/>
        <w:adjustRightInd w:val="0"/>
        <w:outlineLvl w:val="0"/>
        <w:rPr>
          <w:rFonts w:ascii="黑体" w:eastAsia="黑体" w:cs="黑体"/>
          <w:b/>
          <w:lang w:val="zh-CN"/>
        </w:rPr>
      </w:pPr>
    </w:p>
    <w:p>
      <w:pPr>
        <w:autoSpaceDE w:val="0"/>
        <w:autoSpaceDN w:val="0"/>
        <w:adjustRightInd w:val="0"/>
        <w:ind w:left="360" w:hanging="360" w:hangingChars="200"/>
        <w:rPr>
          <w:sz w:val="18"/>
          <w:szCs w:val="18"/>
        </w:rPr>
      </w:pPr>
      <w:r>
        <w:rPr>
          <w:rFonts w:hint="eastAsia"/>
          <w:color w:val="333333"/>
          <w:sz w:val="18"/>
          <w:szCs w:val="15"/>
        </w:rPr>
        <w:t>[</w:t>
      </w:r>
      <w:r>
        <w:rPr>
          <w:color w:val="333333"/>
          <w:sz w:val="18"/>
          <w:szCs w:val="15"/>
        </w:rPr>
        <w:t>1</w:t>
      </w:r>
      <w:r>
        <w:rPr>
          <w:rFonts w:hint="eastAsia"/>
          <w:color w:val="333333"/>
          <w:sz w:val="18"/>
          <w:szCs w:val="15"/>
        </w:rPr>
        <w:t>]</w:t>
      </w:r>
      <w:r>
        <w:rPr>
          <w:sz w:val="18"/>
          <w:szCs w:val="18"/>
        </w:rPr>
        <w:t>Steven R.King. The impact of natural gas composition on fuel metering and engine operational characteristics. SAE paper 920593</w:t>
      </w:r>
      <w:r>
        <w:rPr>
          <w:rFonts w:hint="eastAsia"/>
          <w:sz w:val="18"/>
          <w:szCs w:val="18"/>
        </w:rPr>
        <w:t>，1992</w:t>
      </w:r>
    </w:p>
    <w:p>
      <w:pPr>
        <w:pStyle w:val="2"/>
        <w:ind w:left="360" w:hanging="360" w:hangingChars="200"/>
        <w:rPr>
          <w:sz w:val="18"/>
        </w:rPr>
      </w:pPr>
      <w:r>
        <w:rPr>
          <w:rFonts w:hint="eastAsia"/>
          <w:sz w:val="18"/>
        </w:rPr>
        <w:t>[2]张佐光，张晓宏，仲伟虹等.多相混杂纤维复合材料拉伸行为分析．见：张为民编.第九届全国复合材料学术会议论文集(下册)．北京,1996.北京：世界图书出版公司，1996.410～416</w:t>
      </w:r>
    </w:p>
    <w:p>
      <w:pPr>
        <w:pStyle w:val="2"/>
        <w:ind w:left="358" w:leftChars="-1" w:hanging="360" w:hangingChars="200"/>
        <w:rPr>
          <w:color w:val="333333"/>
          <w:sz w:val="18"/>
          <w:szCs w:val="15"/>
        </w:rPr>
      </w:pPr>
      <w:r>
        <w:rPr>
          <w:rFonts w:hint="eastAsia"/>
          <w:sz w:val="18"/>
        </w:rPr>
        <w:t>[</w:t>
      </w:r>
      <w:r>
        <w:rPr>
          <w:rFonts w:hint="eastAsia"/>
          <w:color w:val="333333"/>
          <w:sz w:val="18"/>
          <w:szCs w:val="15"/>
        </w:rPr>
        <w:t>3] 杨得庆，隋允康，刘正兴等</w:t>
      </w:r>
      <w:r>
        <w:rPr>
          <w:color w:val="333333"/>
          <w:sz w:val="18"/>
          <w:szCs w:val="15"/>
        </w:rPr>
        <w:t>.</w:t>
      </w:r>
      <w:r>
        <w:rPr>
          <w:rFonts w:hint="eastAsia"/>
          <w:color w:val="333333"/>
          <w:sz w:val="18"/>
          <w:szCs w:val="15"/>
        </w:rPr>
        <w:t>应力和位移约束下连续体结构拓扑优化</w:t>
      </w:r>
      <w:r>
        <w:rPr>
          <w:color w:val="333333"/>
          <w:sz w:val="18"/>
          <w:szCs w:val="15"/>
        </w:rPr>
        <w:t>.</w:t>
      </w:r>
      <w:r>
        <w:rPr>
          <w:rFonts w:hint="eastAsia"/>
          <w:color w:val="333333"/>
          <w:sz w:val="18"/>
          <w:szCs w:val="15"/>
        </w:rPr>
        <w:t>应用数学和力学</w:t>
      </w:r>
      <w:r>
        <w:rPr>
          <w:color w:val="333333"/>
          <w:sz w:val="18"/>
          <w:szCs w:val="15"/>
        </w:rPr>
        <w:t>，</w:t>
      </w:r>
      <w:r>
        <w:rPr>
          <w:rFonts w:hint="eastAsia"/>
          <w:color w:val="333333"/>
          <w:sz w:val="18"/>
          <w:szCs w:val="15"/>
        </w:rPr>
        <w:t>2000,21（1）</w:t>
      </w:r>
      <w:r>
        <w:rPr>
          <w:color w:val="333333"/>
          <w:sz w:val="18"/>
          <w:szCs w:val="15"/>
        </w:rPr>
        <w:t>：</w:t>
      </w:r>
      <w:r>
        <w:rPr>
          <w:rFonts w:hint="eastAsia"/>
          <w:color w:val="333333"/>
          <w:sz w:val="18"/>
          <w:szCs w:val="15"/>
        </w:rPr>
        <w:t>17</w:t>
      </w:r>
      <w:r>
        <w:rPr>
          <w:color w:val="333333"/>
          <w:sz w:val="18"/>
          <w:szCs w:val="15"/>
        </w:rPr>
        <w:t>～</w:t>
      </w:r>
      <w:r>
        <w:rPr>
          <w:rFonts w:hint="eastAsia"/>
          <w:color w:val="333333"/>
          <w:sz w:val="18"/>
          <w:szCs w:val="15"/>
        </w:rPr>
        <w:t>2</w:t>
      </w:r>
      <w:r>
        <w:rPr>
          <w:color w:val="333333"/>
          <w:sz w:val="18"/>
          <w:szCs w:val="15"/>
        </w:rPr>
        <w:t>4</w:t>
      </w:r>
    </w:p>
    <w:p>
      <w:pPr>
        <w:pStyle w:val="2"/>
        <w:ind w:left="418" w:leftChars="-1" w:hanging="420" w:hangingChars="200"/>
        <w:rPr>
          <w:rFonts w:ascii="Times New Roman" w:hAnsi="Times New Roman" w:cs="Times New Roman"/>
          <w:sz w:val="18"/>
        </w:rPr>
        <w:sectPr>
          <w:type w:val="continuous"/>
          <w:pgSz w:w="11906" w:h="16838"/>
          <w:pgMar w:top="1418" w:right="907" w:bottom="1418" w:left="907" w:header="851" w:footer="992" w:gutter="0"/>
          <w:cols w:space="425" w:num="2"/>
          <w:docGrid w:type="lines" w:linePitch="312" w:charSpace="0"/>
        </w:sectPr>
      </w:pPr>
      <w:r>
        <w:rPr>
          <w:rFonts w:hint="eastAsia"/>
        </w:rPr>
        <w:t>[</w:t>
      </w:r>
      <w:r>
        <w:t>4</w:t>
      </w:r>
      <w:r>
        <w:rPr>
          <w:rFonts w:hint="eastAsia"/>
        </w:rPr>
        <w:t>] Kucheiko S, Choi J W, Kim H J, et al</w:t>
      </w:r>
      <w:r>
        <w:t>.</w:t>
      </w:r>
      <w:r>
        <w:rPr>
          <w:rFonts w:hint="eastAsia"/>
        </w:rPr>
        <w:t>　Journal Am. Ceram. Soc., 1997, 80(11):2937</w:t>
      </w:r>
      <w:r>
        <w:t>～</w:t>
      </w:r>
      <w:r>
        <w:rPr>
          <w:rFonts w:hint="eastAsia"/>
        </w:rPr>
        <w:t>2</w:t>
      </w:r>
    </w:p>
    <w:p>
      <w:pPr>
        <w:autoSpaceDE w:val="0"/>
        <w:autoSpaceDN w:val="0"/>
        <w:adjustRightInd w:val="0"/>
        <w:ind w:right="565" w:rightChars="269"/>
        <w:rPr>
          <w:rFonts w:ascii="黑体" w:eastAsia="黑体" w:cs="黑体"/>
          <w:szCs w:val="21"/>
        </w:rPr>
        <w:sectPr>
          <w:type w:val="continuous"/>
          <w:pgSz w:w="11906" w:h="16838"/>
          <w:pgMar w:top="1418" w:right="907" w:bottom="1418" w:left="907" w:header="851" w:footer="992" w:gutter="0"/>
          <w:cols w:space="425" w:num="1"/>
          <w:docGrid w:type="lines" w:linePitch="312" w:charSpace="0"/>
        </w:sectPr>
      </w:pPr>
    </w:p>
    <w:bookmarkEnd w:id="1"/>
    <w:bookmarkEnd w:id="3"/>
    <w:p>
      <w:pPr>
        <w:spacing w:line="240" w:lineRule="auto"/>
        <w:jc w:val="center"/>
        <w:rPr>
          <w:rFonts w:hint="eastAsia" w:ascii="黑体" w:hAnsi="黑体" w:eastAsia="黑体"/>
          <w:color w:val="000000"/>
          <w:spacing w:val="-12"/>
          <w:sz w:val="30"/>
          <w:szCs w:val="30"/>
          <w:lang w:eastAsia="zh-CN"/>
        </w:rPr>
      </w:pPr>
      <w:bookmarkStart w:id="4" w:name="_GoBack"/>
      <w:r>
        <w:rPr>
          <w:rFonts w:hint="eastAsia" w:ascii="黑体" w:hAnsi="黑体" w:eastAsia="黑体"/>
          <w:color w:val="000000"/>
          <w:spacing w:val="-12"/>
          <w:sz w:val="30"/>
          <w:szCs w:val="30"/>
          <w:lang w:eastAsia="zh-CN"/>
        </w:rPr>
        <w:drawing>
          <wp:inline distT="0" distB="0" distL="114300" distR="114300">
            <wp:extent cx="6533515" cy="9239885"/>
            <wp:effectExtent l="0" t="0" r="635" b="18415"/>
            <wp:docPr id="4" name="图片 4" descr="文稿格式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稿格式 拷贝"/>
                    <pic:cNvPicPr>
                      <a:picLocks noChangeAspect="1"/>
                    </pic:cNvPicPr>
                  </pic:nvPicPr>
                  <pic:blipFill>
                    <a:blip r:embed="rId17"/>
                    <a:stretch>
                      <a:fillRect/>
                    </a:stretch>
                  </pic:blipFill>
                  <pic:spPr>
                    <a:xfrm>
                      <a:off x="0" y="0"/>
                      <a:ext cx="6533515" cy="9239885"/>
                    </a:xfrm>
                    <a:prstGeom prst="rect">
                      <a:avLst/>
                    </a:prstGeom>
                  </pic:spPr>
                </pic:pic>
              </a:graphicData>
            </a:graphic>
          </wp:inline>
        </w:drawing>
      </w:r>
      <w:bookmarkEnd w:id="4"/>
    </w:p>
    <w:sectPr>
      <w:pgSz w:w="11906" w:h="16838"/>
      <w:pgMar w:top="283"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仿宋_GB2312"/>
        <w:sz w:val="28"/>
        <w:szCs w:val="28"/>
      </w:rPr>
    </w:pPr>
    <w:r>
      <w:rPr>
        <w:rStyle w:val="12"/>
        <w:rFonts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5</w:t>
    </w:r>
    <w:r>
      <w:rPr>
        <w:rFonts w:eastAsia="仿宋_GB2312"/>
        <w:sz w:val="28"/>
        <w:szCs w:val="28"/>
      </w:rPr>
      <w:fldChar w:fldCharType="end"/>
    </w:r>
    <w:r>
      <w:rPr>
        <w:rStyle w:val="12"/>
        <w:rFonts w:eastAsia="仿宋_GB2312"/>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C4AEA"/>
    <w:multiLevelType w:val="multilevel"/>
    <w:tmpl w:val="49CC4AEA"/>
    <w:lvl w:ilvl="0" w:tentative="0">
      <w:start w:val="1"/>
      <w:numFmt w:val="decimal"/>
      <w:lvlText w:val="（%1."/>
      <w:lvlJc w:val="left"/>
      <w:pPr>
        <w:tabs>
          <w:tab w:val="left" w:pos="735"/>
        </w:tabs>
        <w:ind w:left="735" w:hanging="420"/>
      </w:pPr>
      <w:rPr>
        <w:rFonts w:hint="eastAsia"/>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1140D"/>
    <w:rsid w:val="0001140D"/>
    <w:rsid w:val="0004181F"/>
    <w:rsid w:val="00084C46"/>
    <w:rsid w:val="000C7923"/>
    <w:rsid w:val="000D54C1"/>
    <w:rsid w:val="000D62B9"/>
    <w:rsid w:val="000E03EB"/>
    <w:rsid w:val="000E4E91"/>
    <w:rsid w:val="00151CDE"/>
    <w:rsid w:val="00162272"/>
    <w:rsid w:val="00165BBB"/>
    <w:rsid w:val="001A2F54"/>
    <w:rsid w:val="001C21CA"/>
    <w:rsid w:val="00215684"/>
    <w:rsid w:val="002275C3"/>
    <w:rsid w:val="0023268A"/>
    <w:rsid w:val="002371F9"/>
    <w:rsid w:val="00240E0F"/>
    <w:rsid w:val="0025121F"/>
    <w:rsid w:val="00262772"/>
    <w:rsid w:val="002660FB"/>
    <w:rsid w:val="00275063"/>
    <w:rsid w:val="002962A0"/>
    <w:rsid w:val="002B79C5"/>
    <w:rsid w:val="002D57C2"/>
    <w:rsid w:val="002E1C1C"/>
    <w:rsid w:val="002E31ED"/>
    <w:rsid w:val="002E3E9A"/>
    <w:rsid w:val="002F5D4B"/>
    <w:rsid w:val="00300949"/>
    <w:rsid w:val="00323275"/>
    <w:rsid w:val="003259E9"/>
    <w:rsid w:val="00356047"/>
    <w:rsid w:val="00357CDD"/>
    <w:rsid w:val="00413CA4"/>
    <w:rsid w:val="00415135"/>
    <w:rsid w:val="00430680"/>
    <w:rsid w:val="0044252C"/>
    <w:rsid w:val="004540DB"/>
    <w:rsid w:val="00464C76"/>
    <w:rsid w:val="004704AB"/>
    <w:rsid w:val="004D03E2"/>
    <w:rsid w:val="004F5C32"/>
    <w:rsid w:val="00516515"/>
    <w:rsid w:val="00537684"/>
    <w:rsid w:val="0054240D"/>
    <w:rsid w:val="005435CB"/>
    <w:rsid w:val="005612C4"/>
    <w:rsid w:val="0059453C"/>
    <w:rsid w:val="005E0EAC"/>
    <w:rsid w:val="00613277"/>
    <w:rsid w:val="00626490"/>
    <w:rsid w:val="006603CB"/>
    <w:rsid w:val="006E23C7"/>
    <w:rsid w:val="006E66B1"/>
    <w:rsid w:val="007248BA"/>
    <w:rsid w:val="00724DC6"/>
    <w:rsid w:val="00744DFF"/>
    <w:rsid w:val="00752E36"/>
    <w:rsid w:val="00755FE9"/>
    <w:rsid w:val="00761C32"/>
    <w:rsid w:val="00782E0F"/>
    <w:rsid w:val="007B756C"/>
    <w:rsid w:val="008001EB"/>
    <w:rsid w:val="0080750D"/>
    <w:rsid w:val="00844771"/>
    <w:rsid w:val="00845DB7"/>
    <w:rsid w:val="00854878"/>
    <w:rsid w:val="008577CF"/>
    <w:rsid w:val="00866AFC"/>
    <w:rsid w:val="008F4A85"/>
    <w:rsid w:val="009023D7"/>
    <w:rsid w:val="00930DE6"/>
    <w:rsid w:val="009372DF"/>
    <w:rsid w:val="0094472A"/>
    <w:rsid w:val="00952EA9"/>
    <w:rsid w:val="00971784"/>
    <w:rsid w:val="00977789"/>
    <w:rsid w:val="00977977"/>
    <w:rsid w:val="0098144E"/>
    <w:rsid w:val="009A7061"/>
    <w:rsid w:val="009C256B"/>
    <w:rsid w:val="00A034FB"/>
    <w:rsid w:val="00A15444"/>
    <w:rsid w:val="00A34FE2"/>
    <w:rsid w:val="00A66F8E"/>
    <w:rsid w:val="00A75860"/>
    <w:rsid w:val="00AD55FC"/>
    <w:rsid w:val="00B00421"/>
    <w:rsid w:val="00B218B0"/>
    <w:rsid w:val="00B30430"/>
    <w:rsid w:val="00B344E9"/>
    <w:rsid w:val="00B35F93"/>
    <w:rsid w:val="00B62D1F"/>
    <w:rsid w:val="00BA14C8"/>
    <w:rsid w:val="00BA5CEC"/>
    <w:rsid w:val="00BB0096"/>
    <w:rsid w:val="00BC055E"/>
    <w:rsid w:val="00BD67BA"/>
    <w:rsid w:val="00BE3C17"/>
    <w:rsid w:val="00BF6BA8"/>
    <w:rsid w:val="00C157C5"/>
    <w:rsid w:val="00C455BD"/>
    <w:rsid w:val="00C64490"/>
    <w:rsid w:val="00C7287F"/>
    <w:rsid w:val="00C86953"/>
    <w:rsid w:val="00C95A4B"/>
    <w:rsid w:val="00CF5B0C"/>
    <w:rsid w:val="00D01E8C"/>
    <w:rsid w:val="00D279A5"/>
    <w:rsid w:val="00D46C33"/>
    <w:rsid w:val="00DA0438"/>
    <w:rsid w:val="00DB7DF0"/>
    <w:rsid w:val="00DD0626"/>
    <w:rsid w:val="00E14900"/>
    <w:rsid w:val="00E155A2"/>
    <w:rsid w:val="00E25DF3"/>
    <w:rsid w:val="00E551CA"/>
    <w:rsid w:val="00E62482"/>
    <w:rsid w:val="00EB3158"/>
    <w:rsid w:val="00EC20AD"/>
    <w:rsid w:val="00EF4BAF"/>
    <w:rsid w:val="00F070F2"/>
    <w:rsid w:val="00F24BB8"/>
    <w:rsid w:val="00F25209"/>
    <w:rsid w:val="00F46332"/>
    <w:rsid w:val="00F50C9E"/>
    <w:rsid w:val="00F52827"/>
    <w:rsid w:val="00F5418C"/>
    <w:rsid w:val="00FB5285"/>
    <w:rsid w:val="00FD396B"/>
    <w:rsid w:val="00FE4C54"/>
    <w:rsid w:val="17F26B91"/>
    <w:rsid w:val="382C0563"/>
    <w:rsid w:val="3DCC589B"/>
    <w:rsid w:val="3DFEE298"/>
    <w:rsid w:val="3ECC1A6C"/>
    <w:rsid w:val="3FCF5937"/>
    <w:rsid w:val="3FF32320"/>
    <w:rsid w:val="49C7B1AB"/>
    <w:rsid w:val="4EFDC6EF"/>
    <w:rsid w:val="563F1EA2"/>
    <w:rsid w:val="612854DA"/>
    <w:rsid w:val="69DD5A09"/>
    <w:rsid w:val="6F0F8C50"/>
    <w:rsid w:val="77F7ED0B"/>
    <w:rsid w:val="7BF18596"/>
    <w:rsid w:val="7BF7FCBE"/>
    <w:rsid w:val="7DDB0D23"/>
    <w:rsid w:val="7FFEB929"/>
    <w:rsid w:val="7FFEF16F"/>
    <w:rsid w:val="8DF45116"/>
    <w:rsid w:val="A7EF2B08"/>
    <w:rsid w:val="BF1D267E"/>
    <w:rsid w:val="CF7FF4A8"/>
    <w:rsid w:val="D7F6E4DD"/>
    <w:rsid w:val="ED1A07F6"/>
    <w:rsid w:val="EFCD4191"/>
    <w:rsid w:val="FDEF955E"/>
    <w:rsid w:val="FE7EB8F4"/>
    <w:rsid w:val="FF6D856A"/>
    <w:rsid w:val="FFF703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4"/>
        <o:r id="V:Rule2" type="connector" idref="#_x0000_s10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uiPriority w:val="0"/>
    <w:rPr>
      <w:rFonts w:ascii="宋体" w:hAnsi="Courier New" w:eastAsia="宋体" w:cs="Courier New"/>
      <w:szCs w:val="21"/>
    </w:rPr>
  </w:style>
  <w:style w:type="paragraph" w:styleId="3">
    <w:name w:val="Date"/>
    <w:basedOn w:val="1"/>
    <w:next w:val="1"/>
    <w:link w:val="16"/>
    <w:semiHidden/>
    <w:unhideWhenUsed/>
    <w:qFormat/>
    <w:uiPriority w:val="99"/>
    <w:pPr>
      <w:ind w:left="100" w:leftChars="2500"/>
    </w:pPr>
  </w:style>
  <w:style w:type="paragraph" w:styleId="4">
    <w:name w:val="Body Text Indent 2"/>
    <w:basedOn w:val="1"/>
    <w:link w:val="18"/>
    <w:qFormat/>
    <w:uiPriority w:val="0"/>
    <w:pPr>
      <w:autoSpaceDE w:val="0"/>
      <w:autoSpaceDN w:val="0"/>
      <w:adjustRightInd w:val="0"/>
      <w:spacing w:line="360" w:lineRule="auto"/>
      <w:ind w:firstLine="420" w:firstLineChars="200"/>
    </w:pPr>
    <w:rPr>
      <w:rFonts w:ascii="宋体" w:hAnsi="Times New Roman" w:eastAsia="宋体" w:cs="Times New Roman"/>
      <w:szCs w:val="24"/>
    </w:rPr>
  </w:style>
  <w:style w:type="paragraph" w:styleId="5">
    <w:name w:val="Balloon Text"/>
    <w:basedOn w:val="1"/>
    <w:link w:val="19"/>
    <w:semiHidden/>
    <w:unhideWhenUsed/>
    <w:uiPriority w:val="99"/>
    <w:rPr>
      <w:sz w:val="18"/>
      <w:szCs w:val="18"/>
    </w:rPr>
  </w:style>
  <w:style w:type="paragraph" w:styleId="6">
    <w:name w:val="footer"/>
    <w:basedOn w:val="1"/>
    <w:link w:val="15"/>
    <w:unhideWhenUsed/>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页眉 Char"/>
    <w:basedOn w:val="10"/>
    <w:link w:val="7"/>
    <w:semiHidden/>
    <w:uiPriority w:val="99"/>
    <w:rPr>
      <w:sz w:val="18"/>
      <w:szCs w:val="18"/>
    </w:rPr>
  </w:style>
  <w:style w:type="character" w:customStyle="1" w:styleId="15">
    <w:name w:val="页脚 Char1"/>
    <w:basedOn w:val="10"/>
    <w:link w:val="6"/>
    <w:semiHidden/>
    <w:uiPriority w:val="99"/>
    <w:rPr>
      <w:sz w:val="18"/>
      <w:szCs w:val="18"/>
    </w:rPr>
  </w:style>
  <w:style w:type="character" w:customStyle="1" w:styleId="16">
    <w:name w:val="日期 Char"/>
    <w:basedOn w:val="10"/>
    <w:link w:val="3"/>
    <w:semiHidden/>
    <w:qFormat/>
    <w:uiPriority w:val="99"/>
  </w:style>
  <w:style w:type="character" w:customStyle="1" w:styleId="17">
    <w:name w:val="纯文本 Char"/>
    <w:basedOn w:val="10"/>
    <w:link w:val="2"/>
    <w:qFormat/>
    <w:uiPriority w:val="0"/>
    <w:rPr>
      <w:rFonts w:ascii="宋体" w:hAnsi="Courier New" w:eastAsia="宋体" w:cs="Courier New"/>
      <w:szCs w:val="21"/>
    </w:rPr>
  </w:style>
  <w:style w:type="character" w:customStyle="1" w:styleId="18">
    <w:name w:val="正文文本缩进 2 Char"/>
    <w:basedOn w:val="10"/>
    <w:link w:val="4"/>
    <w:qFormat/>
    <w:uiPriority w:val="0"/>
    <w:rPr>
      <w:rFonts w:ascii="宋体" w:hAnsi="Times New Roman" w:eastAsia="宋体" w:cs="Times New Roman"/>
      <w:szCs w:val="24"/>
    </w:rPr>
  </w:style>
  <w:style w:type="character" w:customStyle="1" w:styleId="19">
    <w:name w:val="批注框文本 Char"/>
    <w:basedOn w:val="10"/>
    <w:link w:val="5"/>
    <w:semiHidden/>
    <w:uiPriority w:val="99"/>
    <w:rPr>
      <w:sz w:val="18"/>
      <w:szCs w:val="18"/>
    </w:rPr>
  </w:style>
  <w:style w:type="character" w:customStyle="1" w:styleId="20">
    <w:name w:val="页脚 Char"/>
    <w:qFormat/>
    <w:uiPriority w:val="0"/>
    <w:rPr>
      <w:kern w:val="2"/>
      <w:sz w:val="18"/>
      <w:szCs w:val="18"/>
    </w:rPr>
  </w:style>
  <w:style w:type="character" w:customStyle="1" w:styleId="21">
    <w:name w:val="bsharetex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chart" Target="charts/chart1.xml"/><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017699115045"/>
          <c:y val="0.0424836601307194"/>
          <c:w val="0.825221238938057"/>
          <c:h val="0.718954248366016"/>
        </c:manualLayout>
      </c:layout>
      <c:barChart>
        <c:barDir val="col"/>
        <c:grouping val="clustered"/>
        <c:varyColors val="0"/>
        <c:ser>
          <c:idx val="0"/>
          <c:order val="0"/>
          <c:spPr>
            <a:solidFill>
              <a:srgbClr val="9999FF"/>
            </a:solidFill>
            <a:ln w="12699">
              <a:solidFill>
                <a:srgbClr val="000000"/>
              </a:solidFill>
              <a:prstDash val="solid"/>
            </a:ln>
          </c:spPr>
          <c:invertIfNegative val="0"/>
          <c:dLbls>
            <c:delete val="1"/>
          </c:dLbls>
          <c:val>
            <c:numRef>
              <c:f>Sheet1!$P$4:$P$16</c:f>
              <c:numCache>
                <c:formatCode>General</c:formatCode>
                <c:ptCount val="13"/>
                <c:pt idx="0">
                  <c:v>-0.16</c:v>
                </c:pt>
                <c:pt idx="1">
                  <c:v>3.92</c:v>
                </c:pt>
                <c:pt idx="2">
                  <c:v>3.48</c:v>
                </c:pt>
                <c:pt idx="3">
                  <c:v>2.84</c:v>
                </c:pt>
                <c:pt idx="4">
                  <c:v>2.53</c:v>
                </c:pt>
                <c:pt idx="5">
                  <c:v>4.78</c:v>
                </c:pt>
                <c:pt idx="6">
                  <c:v>0.14</c:v>
                </c:pt>
                <c:pt idx="7">
                  <c:v>7.99</c:v>
                </c:pt>
                <c:pt idx="8">
                  <c:v>1.81</c:v>
                </c:pt>
                <c:pt idx="9">
                  <c:v>4.55</c:v>
                </c:pt>
                <c:pt idx="10">
                  <c:v>2.03</c:v>
                </c:pt>
                <c:pt idx="11">
                  <c:v>1</c:v>
                </c:pt>
                <c:pt idx="12">
                  <c:v>0.34</c:v>
                </c:pt>
              </c:numCache>
            </c:numRef>
          </c:val>
        </c:ser>
        <c:dLbls>
          <c:showLegendKey val="0"/>
          <c:showVal val="0"/>
          <c:showCatName val="0"/>
          <c:showSerName val="0"/>
          <c:showPercent val="0"/>
          <c:showBubbleSize val="0"/>
        </c:dLbls>
        <c:gapWidth val="150"/>
        <c:axId val="336782464"/>
        <c:axId val="336784384"/>
      </c:barChart>
      <c:catAx>
        <c:axId val="336782464"/>
        <c:scaling>
          <c:orientation val="minMax"/>
        </c:scaling>
        <c:delete val="0"/>
        <c:axPos val="b"/>
        <c:title>
          <c:tx>
            <c:rich>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工况</a:t>
                </a:r>
                <a:endParaRPr lang="zh-CN" altLang="en-US"/>
              </a:p>
            </c:rich>
          </c:tx>
          <c:layout>
            <c:manualLayout>
              <c:xMode val="edge"/>
              <c:yMode val="edge"/>
              <c:x val="0.5"/>
              <c:y val="0.859477124183007"/>
            </c:manualLayout>
          </c:layout>
          <c:overlay val="0"/>
          <c:spPr>
            <a:noFill/>
            <a:ln w="25398">
              <a:noFill/>
            </a:ln>
          </c:spPr>
        </c:title>
        <c:numFmt formatCode="General" sourceLinked="1"/>
        <c:majorTickMark val="out"/>
        <c:minorTickMark val="none"/>
        <c:tickLblPos val="low"/>
        <c:spPr>
          <a:ln w="9524" cap="flat" cmpd="sng" algn="ctr">
            <a:no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336784384"/>
        <c:crosses val="autoZero"/>
        <c:auto val="1"/>
        <c:lblAlgn val="ctr"/>
        <c:lblOffset val="100"/>
        <c:tickLblSkip val="2"/>
        <c:noMultiLvlLbl val="0"/>
      </c:catAx>
      <c:valAx>
        <c:axId val="336784384"/>
        <c:scaling>
          <c:orientation val="minMax"/>
        </c:scaling>
        <c:delete val="0"/>
        <c:axPos val="l"/>
        <c:title>
          <c:tx>
            <c:rich>
              <a:bodyPr rot="-540000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sz="800" b="0" i="0" u="none" strike="noStrike" baseline="0">
                    <a:solidFill>
                      <a:srgbClr val="000000"/>
                    </a:solidFill>
                    <a:latin typeface="Arial" panose="020B0604020202020204" pitchFamily="2"/>
                    <a:cs typeface="Arial" panose="020B0604020202020204" pitchFamily="2"/>
                  </a:rPr>
                  <a:t>NOx</a:t>
                </a:r>
                <a:r>
                  <a:rPr lang="zh-CN" altLang="en-US" sz="800" b="0" i="0" u="none" strike="noStrike" baseline="0">
                    <a:solidFill>
                      <a:srgbClr val="000000"/>
                    </a:solidFill>
                    <a:latin typeface="宋体" panose="02010600030101010101" charset="-122"/>
                    <a:ea typeface="宋体" panose="02010600030101010101" charset="-122"/>
                  </a:rPr>
                  <a:t>增量比</a:t>
                </a:r>
                <a:r>
                  <a:rPr lang="en-US" altLang="zh-CN" sz="800" b="0" i="0" u="none" strike="noStrike" baseline="0">
                    <a:solidFill>
                      <a:srgbClr val="000000"/>
                    </a:solidFill>
                    <a:latin typeface="Arial" panose="020B0604020202020204" pitchFamily="2"/>
                    <a:cs typeface="Arial" panose="020B0604020202020204" pitchFamily="2"/>
                  </a:rPr>
                  <a:t>(A</a:t>
                </a:r>
                <a:r>
                  <a:rPr lang="zh-CN" altLang="en-US" sz="800" b="0" i="0" u="none" strike="noStrike" baseline="0">
                    <a:solidFill>
                      <a:srgbClr val="000000"/>
                    </a:solidFill>
                    <a:latin typeface="宋体" panose="02010600030101010101" charset="-122"/>
                    <a:ea typeface="宋体" panose="02010600030101010101" charset="-122"/>
                  </a:rPr>
                  <a:t>相对于</a:t>
                </a:r>
                <a:r>
                  <a:rPr lang="en-US" altLang="zh-CN" sz="800" b="0" i="0" u="none" strike="noStrike" baseline="0">
                    <a:solidFill>
                      <a:srgbClr val="000000"/>
                    </a:solidFill>
                    <a:latin typeface="Arial" panose="020B0604020202020204" pitchFamily="2"/>
                    <a:cs typeface="Arial" panose="020B0604020202020204" pitchFamily="2"/>
                  </a:rPr>
                  <a:t>B)</a:t>
                </a:r>
                <a:endParaRPr lang="en-US" altLang="zh-CN" sz="800" b="0" i="0" u="none" strike="noStrike" baseline="0">
                  <a:solidFill>
                    <a:srgbClr val="000000"/>
                  </a:solidFill>
                  <a:latin typeface="Arial" panose="020B0604020202020204" pitchFamily="2"/>
                  <a:cs typeface="Arial" panose="020B0604020202020204" pitchFamily="2"/>
                </a:endParaRPr>
              </a:p>
            </c:rich>
          </c:tx>
          <c:layout>
            <c:manualLayout>
              <c:xMode val="edge"/>
              <c:yMode val="edge"/>
              <c:x val="0.0818584070796467"/>
              <c:y val="0.140522875816993"/>
            </c:manualLayout>
          </c:layout>
          <c:overlay val="0"/>
          <c:spPr>
            <a:noFill/>
            <a:ln w="25398">
              <a:noFill/>
            </a:ln>
          </c:spPr>
        </c:title>
        <c:numFmt formatCode="General" sourceLinked="1"/>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336782464"/>
        <c:crosses val="autoZero"/>
        <c:crossBetween val="between"/>
      </c:valAx>
      <c:spPr>
        <a:noFill/>
        <a:ln w="25400">
          <a:noFill/>
        </a:ln>
        <a:effectLst/>
      </c:spPr>
    </c:plotArea>
    <c:plotVisOnly val="1"/>
    <c:dispBlanksAs val="gap"/>
    <c:showDLblsOverMax val="0"/>
  </c:chart>
  <c:spPr>
    <a:solidFill>
      <a:srgbClr val="FFFFFF"/>
    </a:solidFill>
    <a:ln w="9525" cap="flat" cmpd="sng" algn="ctr">
      <a:noFill/>
      <a:prstDash val="solid"/>
      <a:round/>
    </a:ln>
  </c:spPr>
  <c:txPr>
    <a:bodyPr/>
    <a:lstStyle/>
    <a:p>
      <a:pPr>
        <a:defRPr lang="zh-CN" sz="8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44"/>
    <customShpInfo spid="_x0000_s1043"/>
    <customShpInfo spid="_x0000_s1027"/>
    <customShpInfo spid="_x0000_s1028"/>
    <customShpInfo spid="_x0000_s1047"/>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633</Words>
  <Characters>3609</Characters>
  <Lines>30</Lines>
  <Paragraphs>8</Paragraphs>
  <TotalTime>19</TotalTime>
  <ScaleCrop>false</ScaleCrop>
  <LinksUpToDate>false</LinksUpToDate>
  <CharactersWithSpaces>4234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2020-05-21T00:52:00Z</dcterms:created>
  <dc:creator>Administrator</dc:creator>
  <cp:lastModifiedBy>...</cp:lastModifiedBy>
  <cp:lastPrinted>2020-05-12T20:45:00Z</cp:lastPrinted>
  <dcterms:modified xsi:type="dcterms:W3CDTF">2020-11-18T06:46:07Z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